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052" w:type="dxa"/>
        <w:tblInd w:w="28" w:type="dxa"/>
        <w:tblLayout w:type="fixed"/>
        <w:tblCellMar>
          <w:left w:w="0" w:type="dxa"/>
          <w:right w:w="0" w:type="dxa"/>
        </w:tblCellMar>
        <w:tblLook w:val="0000" w:firstRow="0" w:lastRow="0" w:firstColumn="0" w:lastColumn="0" w:noHBand="0" w:noVBand="0"/>
      </w:tblPr>
      <w:tblGrid>
        <w:gridCol w:w="1134"/>
        <w:gridCol w:w="1559"/>
        <w:gridCol w:w="1276"/>
        <w:gridCol w:w="567"/>
        <w:gridCol w:w="283"/>
        <w:gridCol w:w="682"/>
        <w:gridCol w:w="283"/>
        <w:gridCol w:w="851"/>
        <w:gridCol w:w="1417"/>
      </w:tblGrid>
      <w:tr w:rsidR="00F55600" w:rsidTr="00E17736">
        <w:trPr>
          <w:trHeight w:hRule="exact" w:val="853"/>
        </w:trPr>
        <w:tc>
          <w:tcPr>
            <w:tcW w:w="8052" w:type="dxa"/>
            <w:gridSpan w:val="9"/>
            <w:vAlign w:val="center"/>
          </w:tcPr>
          <w:p w:rsidR="00F55600" w:rsidRDefault="00F55600" w:rsidP="001E581A">
            <w:pPr>
              <w:rPr>
                <w:sz w:val="16"/>
              </w:rPr>
            </w:pPr>
          </w:p>
          <w:p w:rsidR="00F55600" w:rsidRDefault="00F55600" w:rsidP="001E581A">
            <w:pPr>
              <w:pStyle w:val="Fixtexte"/>
            </w:pPr>
          </w:p>
        </w:tc>
      </w:tr>
      <w:tr w:rsidR="00F55600" w:rsidRPr="00AB40FC" w:rsidTr="00E17736">
        <w:trPr>
          <w:trHeight w:hRule="exact" w:val="2978"/>
        </w:trPr>
        <w:tc>
          <w:tcPr>
            <w:tcW w:w="3969" w:type="dxa"/>
            <w:gridSpan w:val="3"/>
          </w:tcPr>
          <w:p w:rsidR="00F55600" w:rsidRDefault="00F55600" w:rsidP="001E581A"/>
          <w:p w:rsidR="009851AE" w:rsidRDefault="009851AE" w:rsidP="001E581A"/>
          <w:p w:rsidR="009851AE" w:rsidRDefault="009851AE" w:rsidP="009851AE">
            <w:pPr>
              <w:jc w:val="left"/>
              <w:rPr>
                <w:bCs/>
                <w:lang w:val="en-US"/>
              </w:rPr>
            </w:pPr>
            <w:proofErr w:type="spellStart"/>
            <w:r w:rsidRPr="009851AE">
              <w:rPr>
                <w:bCs/>
                <w:lang w:val="en-US"/>
              </w:rPr>
              <w:t>Energie</w:t>
            </w:r>
            <w:proofErr w:type="spellEnd"/>
            <w:r w:rsidRPr="009851AE">
              <w:rPr>
                <w:bCs/>
                <w:lang w:val="en-US"/>
              </w:rPr>
              <w:t>-Control Austria</w:t>
            </w:r>
          </w:p>
          <w:p w:rsidR="009851AE" w:rsidRDefault="009851AE" w:rsidP="009851AE">
            <w:pPr>
              <w:jc w:val="left"/>
              <w:rPr>
                <w:lang w:val="en-US"/>
              </w:rPr>
            </w:pPr>
            <w:r w:rsidRPr="009851AE">
              <w:rPr>
                <w:lang w:val="en-US"/>
              </w:rPr>
              <w:t>Rudolfsplatz 13a</w:t>
            </w:r>
          </w:p>
          <w:p w:rsidR="009851AE" w:rsidRPr="009851AE" w:rsidRDefault="009851AE" w:rsidP="009851AE">
            <w:pPr>
              <w:jc w:val="left"/>
              <w:rPr>
                <w:lang w:val="en-US"/>
              </w:rPr>
            </w:pPr>
            <w:r w:rsidRPr="009851AE">
              <w:rPr>
                <w:lang w:val="en-US"/>
              </w:rPr>
              <w:t>1010 Wien</w:t>
            </w:r>
          </w:p>
          <w:p w:rsidR="009851AE" w:rsidRPr="009851AE" w:rsidRDefault="009851AE" w:rsidP="001E581A">
            <w:pPr>
              <w:rPr>
                <w:lang w:val="en-US"/>
              </w:rPr>
            </w:pPr>
            <w:r w:rsidRPr="009851AE">
              <w:rPr>
                <w:lang w:val="en-US"/>
              </w:rPr>
              <w:t>igma@e-control.at</w:t>
            </w:r>
          </w:p>
        </w:tc>
        <w:tc>
          <w:tcPr>
            <w:tcW w:w="4083" w:type="dxa"/>
            <w:gridSpan w:val="6"/>
          </w:tcPr>
          <w:p w:rsidR="00F55600" w:rsidRPr="009851AE" w:rsidRDefault="00F55600" w:rsidP="001E581A">
            <w:pPr>
              <w:pStyle w:val="1-Zeilig"/>
              <w:spacing w:line="280" w:lineRule="exact"/>
              <w:rPr>
                <w:lang w:val="en-US"/>
              </w:rPr>
            </w:pPr>
          </w:p>
        </w:tc>
      </w:tr>
      <w:tr w:rsidR="00F55600" w:rsidRPr="00AB40FC" w:rsidTr="00E17736">
        <w:tc>
          <w:tcPr>
            <w:tcW w:w="1134" w:type="dxa"/>
          </w:tcPr>
          <w:p w:rsidR="00F55600" w:rsidRPr="009851AE" w:rsidRDefault="00F55600" w:rsidP="001E581A">
            <w:pPr>
              <w:spacing w:line="360" w:lineRule="auto"/>
              <w:rPr>
                <w:sz w:val="18"/>
                <w:lang w:val="en-US"/>
              </w:rPr>
            </w:pPr>
          </w:p>
        </w:tc>
        <w:tc>
          <w:tcPr>
            <w:tcW w:w="1559" w:type="dxa"/>
          </w:tcPr>
          <w:p w:rsidR="00F55600" w:rsidRPr="009851AE" w:rsidRDefault="00F55600" w:rsidP="001E581A">
            <w:pPr>
              <w:spacing w:line="360" w:lineRule="auto"/>
              <w:rPr>
                <w:sz w:val="18"/>
                <w:lang w:val="en-US"/>
              </w:rPr>
            </w:pPr>
          </w:p>
        </w:tc>
        <w:tc>
          <w:tcPr>
            <w:tcW w:w="1843" w:type="dxa"/>
            <w:gridSpan w:val="2"/>
          </w:tcPr>
          <w:p w:rsidR="00F55600" w:rsidRPr="009851AE" w:rsidRDefault="00F55600" w:rsidP="001E581A">
            <w:pPr>
              <w:spacing w:line="360" w:lineRule="auto"/>
              <w:rPr>
                <w:sz w:val="18"/>
                <w:lang w:val="en-US"/>
              </w:rPr>
            </w:pPr>
          </w:p>
        </w:tc>
        <w:tc>
          <w:tcPr>
            <w:tcW w:w="965" w:type="dxa"/>
            <w:gridSpan w:val="2"/>
          </w:tcPr>
          <w:p w:rsidR="00F55600" w:rsidRPr="009851AE" w:rsidRDefault="00F55600" w:rsidP="001E581A">
            <w:pPr>
              <w:spacing w:line="360" w:lineRule="auto"/>
              <w:rPr>
                <w:sz w:val="18"/>
                <w:lang w:val="en-US"/>
              </w:rPr>
            </w:pPr>
          </w:p>
        </w:tc>
        <w:tc>
          <w:tcPr>
            <w:tcW w:w="1134" w:type="dxa"/>
            <w:gridSpan w:val="2"/>
          </w:tcPr>
          <w:p w:rsidR="00F55600" w:rsidRPr="009851AE" w:rsidRDefault="00F55600" w:rsidP="001E581A">
            <w:pPr>
              <w:spacing w:line="360" w:lineRule="auto"/>
              <w:rPr>
                <w:sz w:val="18"/>
                <w:lang w:val="en-US"/>
              </w:rPr>
            </w:pPr>
          </w:p>
        </w:tc>
        <w:tc>
          <w:tcPr>
            <w:tcW w:w="1417" w:type="dxa"/>
          </w:tcPr>
          <w:p w:rsidR="00F55600" w:rsidRPr="009851AE" w:rsidRDefault="00F55600" w:rsidP="001E581A">
            <w:pPr>
              <w:spacing w:line="360" w:lineRule="auto"/>
              <w:rPr>
                <w:sz w:val="18"/>
                <w:lang w:val="en-US"/>
              </w:rPr>
            </w:pPr>
          </w:p>
        </w:tc>
      </w:tr>
      <w:tr w:rsidR="00F55600" w:rsidTr="00E17736">
        <w:trPr>
          <w:trHeight w:hRule="exact" w:val="260"/>
        </w:trPr>
        <w:tc>
          <w:tcPr>
            <w:tcW w:w="1134" w:type="dxa"/>
          </w:tcPr>
          <w:p w:rsidR="00F55600" w:rsidRDefault="00F55600" w:rsidP="001E581A">
            <w:pPr>
              <w:pStyle w:val="Fixtexte"/>
            </w:pPr>
            <w:r>
              <w:t>Ihr Zeichen</w:t>
            </w:r>
          </w:p>
        </w:tc>
        <w:tc>
          <w:tcPr>
            <w:tcW w:w="1559" w:type="dxa"/>
          </w:tcPr>
          <w:p w:rsidR="00F55600" w:rsidRDefault="00F55600" w:rsidP="001E581A">
            <w:pPr>
              <w:pStyle w:val="Fixtexte"/>
            </w:pPr>
            <w:r>
              <w:t>Unser Zeichen</w:t>
            </w:r>
          </w:p>
        </w:tc>
        <w:tc>
          <w:tcPr>
            <w:tcW w:w="1843" w:type="dxa"/>
            <w:gridSpan w:val="2"/>
          </w:tcPr>
          <w:p w:rsidR="00F55600" w:rsidRDefault="00F55600" w:rsidP="001E581A">
            <w:pPr>
              <w:pStyle w:val="Fixtexte"/>
              <w:tabs>
                <w:tab w:val="left" w:pos="1701"/>
              </w:tabs>
            </w:pPr>
            <w:r>
              <w:t>Bearbeiter/in</w:t>
            </w:r>
          </w:p>
        </w:tc>
        <w:tc>
          <w:tcPr>
            <w:tcW w:w="283" w:type="dxa"/>
          </w:tcPr>
          <w:p w:rsidR="00F55600" w:rsidRDefault="00F55600" w:rsidP="001E581A">
            <w:pPr>
              <w:pStyle w:val="Fixtexte"/>
              <w:tabs>
                <w:tab w:val="left" w:pos="425"/>
              </w:tabs>
            </w:pPr>
            <w:r>
              <w:t>Tel</w:t>
            </w:r>
          </w:p>
        </w:tc>
        <w:tc>
          <w:tcPr>
            <w:tcW w:w="682" w:type="dxa"/>
            <w:tcBorders>
              <w:left w:val="nil"/>
            </w:tcBorders>
          </w:tcPr>
          <w:p w:rsidR="00F55600" w:rsidRDefault="00F55600" w:rsidP="001E581A">
            <w:pPr>
              <w:pStyle w:val="Fixtexte"/>
            </w:pPr>
            <w:r>
              <w:rPr>
                <w:b/>
                <w:bCs/>
                <w:sz w:val="20"/>
              </w:rPr>
              <w:fldChar w:fldCharType="begin">
                <w:ffData>
                  <w:name w:val=""/>
                  <w:enabled/>
                  <w:calcOnExit w:val="0"/>
                  <w:textInput>
                    <w:default w:val="501 65"/>
                    <w:maxLength w:val="6"/>
                  </w:textInput>
                </w:ffData>
              </w:fldChar>
            </w:r>
            <w:r>
              <w:rPr>
                <w:b/>
                <w:bCs/>
                <w:sz w:val="20"/>
              </w:rPr>
              <w:instrText xml:space="preserve"> FORMTEXT </w:instrText>
            </w:r>
            <w:r>
              <w:rPr>
                <w:b/>
                <w:bCs/>
                <w:sz w:val="20"/>
              </w:rPr>
            </w:r>
            <w:r>
              <w:rPr>
                <w:b/>
                <w:bCs/>
                <w:sz w:val="20"/>
              </w:rPr>
              <w:fldChar w:fldCharType="separate"/>
            </w:r>
            <w:r>
              <w:rPr>
                <w:b/>
                <w:bCs/>
                <w:noProof/>
                <w:sz w:val="20"/>
              </w:rPr>
              <w:t>501 65</w:t>
            </w:r>
            <w:r>
              <w:rPr>
                <w:b/>
                <w:bCs/>
                <w:sz w:val="20"/>
              </w:rPr>
              <w:fldChar w:fldCharType="end"/>
            </w:r>
          </w:p>
        </w:tc>
        <w:tc>
          <w:tcPr>
            <w:tcW w:w="283" w:type="dxa"/>
          </w:tcPr>
          <w:p w:rsidR="00F55600" w:rsidRDefault="00F55600" w:rsidP="001E581A">
            <w:pPr>
              <w:pStyle w:val="Fixtexte"/>
            </w:pPr>
            <w:r>
              <w:t xml:space="preserve">Fax </w:t>
            </w:r>
          </w:p>
        </w:tc>
        <w:tc>
          <w:tcPr>
            <w:tcW w:w="851" w:type="dxa"/>
          </w:tcPr>
          <w:p w:rsidR="00F55600" w:rsidRDefault="00F55600" w:rsidP="001E581A">
            <w:pPr>
              <w:pStyle w:val="Fixtexte"/>
            </w:pPr>
            <w:r>
              <w:rPr>
                <w:b/>
                <w:bCs/>
                <w:sz w:val="20"/>
              </w:rPr>
              <w:fldChar w:fldCharType="begin">
                <w:ffData>
                  <w:name w:val=""/>
                  <w:enabled/>
                  <w:calcOnExit w:val="0"/>
                  <w:textInput>
                    <w:default w:val="501 65"/>
                    <w:maxLength w:val="6"/>
                  </w:textInput>
                </w:ffData>
              </w:fldChar>
            </w:r>
            <w:r>
              <w:rPr>
                <w:b/>
                <w:bCs/>
                <w:sz w:val="20"/>
              </w:rPr>
              <w:instrText xml:space="preserve"> FORMTEXT </w:instrText>
            </w:r>
            <w:r>
              <w:rPr>
                <w:b/>
                <w:bCs/>
                <w:sz w:val="20"/>
              </w:rPr>
            </w:r>
            <w:r>
              <w:rPr>
                <w:b/>
                <w:bCs/>
                <w:sz w:val="20"/>
              </w:rPr>
              <w:fldChar w:fldCharType="separate"/>
            </w:r>
            <w:r>
              <w:rPr>
                <w:b/>
                <w:bCs/>
                <w:noProof/>
                <w:sz w:val="20"/>
              </w:rPr>
              <w:t>501 65</w:t>
            </w:r>
            <w:r>
              <w:rPr>
                <w:b/>
                <w:bCs/>
                <w:sz w:val="20"/>
              </w:rPr>
              <w:fldChar w:fldCharType="end"/>
            </w:r>
          </w:p>
        </w:tc>
        <w:tc>
          <w:tcPr>
            <w:tcW w:w="1417" w:type="dxa"/>
          </w:tcPr>
          <w:p w:rsidR="00F55600" w:rsidRDefault="00F55600" w:rsidP="001E581A">
            <w:pPr>
              <w:pStyle w:val="Fixtexte"/>
            </w:pPr>
            <w:r>
              <w:t>Datum</w:t>
            </w:r>
          </w:p>
        </w:tc>
      </w:tr>
      <w:tr w:rsidR="00F55600" w:rsidTr="00E17736">
        <w:tc>
          <w:tcPr>
            <w:tcW w:w="1134" w:type="dxa"/>
          </w:tcPr>
          <w:p w:rsidR="00F55600" w:rsidRDefault="004E1A8D" w:rsidP="00B0744A">
            <w:pPr>
              <w:pStyle w:val="Linksbndig"/>
              <w:spacing w:line="360" w:lineRule="auto"/>
            </w:pPr>
            <w:r>
              <w:t>-</w:t>
            </w:r>
          </w:p>
        </w:tc>
        <w:tc>
          <w:tcPr>
            <w:tcW w:w="1559" w:type="dxa"/>
          </w:tcPr>
          <w:p w:rsidR="00F55600" w:rsidRDefault="004E1A8D" w:rsidP="001E581A">
            <w:pPr>
              <w:pStyle w:val="Linksbndig"/>
              <w:spacing w:line="360" w:lineRule="auto"/>
            </w:pPr>
            <w:r>
              <w:t>WP-GSt/He/Ni</w:t>
            </w:r>
          </w:p>
        </w:tc>
        <w:tc>
          <w:tcPr>
            <w:tcW w:w="1843" w:type="dxa"/>
            <w:gridSpan w:val="2"/>
          </w:tcPr>
          <w:p w:rsidR="00F55600" w:rsidRDefault="004E1A8D" w:rsidP="001E581A">
            <w:pPr>
              <w:pStyle w:val="Linksbndig"/>
              <w:spacing w:line="360" w:lineRule="auto"/>
            </w:pPr>
            <w:r>
              <w:t>Dorothea Herzele</w:t>
            </w:r>
          </w:p>
        </w:tc>
        <w:tc>
          <w:tcPr>
            <w:tcW w:w="965" w:type="dxa"/>
            <w:gridSpan w:val="2"/>
          </w:tcPr>
          <w:p w:rsidR="00F55600" w:rsidRDefault="00F55600" w:rsidP="004E1A8D">
            <w:pPr>
              <w:tabs>
                <w:tab w:val="left" w:pos="425"/>
              </w:tabs>
              <w:spacing w:line="360" w:lineRule="auto"/>
            </w:pPr>
            <w:r>
              <w:t>DW</w:t>
            </w:r>
            <w:r>
              <w:tab/>
            </w:r>
            <w:r w:rsidR="004E1A8D">
              <w:t>2295</w:t>
            </w:r>
          </w:p>
        </w:tc>
        <w:tc>
          <w:tcPr>
            <w:tcW w:w="1134" w:type="dxa"/>
            <w:gridSpan w:val="2"/>
          </w:tcPr>
          <w:p w:rsidR="00F55600" w:rsidRDefault="00F55600" w:rsidP="00604A69">
            <w:pPr>
              <w:spacing w:line="360" w:lineRule="auto"/>
            </w:pPr>
            <w:r>
              <w:t xml:space="preserve">DW </w:t>
            </w:r>
            <w:r w:rsidR="00604A69">
              <w:t>2532</w:t>
            </w:r>
          </w:p>
        </w:tc>
        <w:tc>
          <w:tcPr>
            <w:tcW w:w="1417" w:type="dxa"/>
          </w:tcPr>
          <w:p w:rsidR="00F55600" w:rsidRDefault="00604A69" w:rsidP="001E581A">
            <w:pPr>
              <w:spacing w:line="360" w:lineRule="auto"/>
            </w:pPr>
            <w:r>
              <w:t>26.11.2012</w:t>
            </w:r>
          </w:p>
        </w:tc>
      </w:tr>
      <w:tr w:rsidR="00F55600" w:rsidTr="00E17736">
        <w:trPr>
          <w:trHeight w:val="539"/>
        </w:trPr>
        <w:tc>
          <w:tcPr>
            <w:tcW w:w="1134" w:type="dxa"/>
          </w:tcPr>
          <w:p w:rsidR="00F55600" w:rsidRDefault="00F55600" w:rsidP="001E581A">
            <w:pPr>
              <w:pStyle w:val="Fixtexte"/>
            </w:pPr>
          </w:p>
        </w:tc>
        <w:tc>
          <w:tcPr>
            <w:tcW w:w="1559" w:type="dxa"/>
          </w:tcPr>
          <w:p w:rsidR="00F55600" w:rsidRDefault="00F55600" w:rsidP="001E581A"/>
        </w:tc>
        <w:tc>
          <w:tcPr>
            <w:tcW w:w="1843" w:type="dxa"/>
            <w:gridSpan w:val="2"/>
          </w:tcPr>
          <w:p w:rsidR="00F55600" w:rsidRDefault="00F55600" w:rsidP="001E581A">
            <w:pPr>
              <w:pStyle w:val="Fuzeile"/>
              <w:tabs>
                <w:tab w:val="clear" w:pos="4536"/>
                <w:tab w:val="clear" w:pos="9072"/>
              </w:tabs>
            </w:pPr>
          </w:p>
        </w:tc>
        <w:tc>
          <w:tcPr>
            <w:tcW w:w="965" w:type="dxa"/>
            <w:gridSpan w:val="2"/>
          </w:tcPr>
          <w:p w:rsidR="00F55600" w:rsidRDefault="00F55600" w:rsidP="001E581A">
            <w:pPr>
              <w:pStyle w:val="Fuzeile"/>
              <w:tabs>
                <w:tab w:val="clear" w:pos="4536"/>
                <w:tab w:val="clear" w:pos="9072"/>
              </w:tabs>
            </w:pPr>
          </w:p>
        </w:tc>
        <w:tc>
          <w:tcPr>
            <w:tcW w:w="1134" w:type="dxa"/>
            <w:gridSpan w:val="2"/>
          </w:tcPr>
          <w:p w:rsidR="00F55600" w:rsidRDefault="00F55600" w:rsidP="001E581A"/>
        </w:tc>
        <w:tc>
          <w:tcPr>
            <w:tcW w:w="1417" w:type="dxa"/>
          </w:tcPr>
          <w:p w:rsidR="00F55600" w:rsidRDefault="00F55600" w:rsidP="001E581A"/>
        </w:tc>
      </w:tr>
    </w:tbl>
    <w:p w:rsidR="001E581A" w:rsidRDefault="001E581A">
      <w:pPr>
        <w:sectPr w:rsidR="001E581A">
          <w:headerReference w:type="first" r:id="rId8"/>
          <w:pgSz w:w="11907" w:h="16840" w:code="9"/>
          <w:pgMar w:top="1871" w:right="851" w:bottom="1134" w:left="1418" w:header="1418" w:footer="720" w:gutter="0"/>
          <w:cols w:space="720"/>
          <w:noEndnote/>
          <w:titlePg/>
        </w:sectPr>
      </w:pPr>
    </w:p>
    <w:p w:rsidR="008637EB" w:rsidRPr="008637EB" w:rsidRDefault="008637EB" w:rsidP="008637EB">
      <w:pPr>
        <w:pStyle w:val="Betreff"/>
        <w:rPr>
          <w:lang w:val="de-AT"/>
        </w:rPr>
      </w:pPr>
      <w:r w:rsidRPr="008637EB">
        <w:rPr>
          <w:lang w:val="de-AT"/>
        </w:rPr>
        <w:lastRenderedPageBreak/>
        <w:t>V</w:t>
      </w:r>
      <w:r w:rsidR="00604A69">
        <w:rPr>
          <w:lang w:val="de-AT"/>
        </w:rPr>
        <w:t>erordnung der E-Control-Austria</w:t>
      </w:r>
      <w:r w:rsidRPr="008637EB">
        <w:rPr>
          <w:lang w:val="de-AT"/>
        </w:rPr>
        <w:t xml:space="preserve"> mit der die Anforderungen an intelligente Messgeräte bestimmt werden – IGMA-VO 2012</w:t>
      </w:r>
    </w:p>
    <w:p w:rsidR="008637EB" w:rsidRPr="008637EB" w:rsidRDefault="008637EB" w:rsidP="008637EB">
      <w:pPr>
        <w:pStyle w:val="Betreff"/>
        <w:suppressAutoHyphens/>
        <w:jc w:val="both"/>
        <w:rPr>
          <w:sz w:val="20"/>
          <w:lang w:val="de-AT"/>
        </w:rPr>
      </w:pPr>
    </w:p>
    <w:p w:rsidR="008637EB" w:rsidRPr="008637EB" w:rsidRDefault="008637EB" w:rsidP="008637EB">
      <w:pPr>
        <w:suppressAutoHyphens/>
        <w:rPr>
          <w:rFonts w:eastAsiaTheme="minorHAnsi"/>
          <w:lang w:val="de-AT"/>
        </w:rPr>
      </w:pPr>
    </w:p>
    <w:p w:rsidR="008637EB" w:rsidRDefault="008637EB" w:rsidP="008637EB">
      <w:pPr>
        <w:pStyle w:val="Betreff"/>
        <w:suppressAutoHyphens/>
        <w:jc w:val="both"/>
        <w:rPr>
          <w:sz w:val="20"/>
          <w:lang w:val="de-AT"/>
        </w:rPr>
      </w:pPr>
      <w:r w:rsidRPr="008637EB">
        <w:rPr>
          <w:sz w:val="20"/>
          <w:lang w:val="de-AT"/>
        </w:rPr>
        <w:t>Die Bundesarbeitskammer (BAK) dankt für die Übermittlung des gegenständlichen Verordnungsentwurfs und nimmt wie folgt Stellung:</w:t>
      </w:r>
    </w:p>
    <w:p w:rsidR="00604A69" w:rsidRPr="00604A69" w:rsidRDefault="00604A69" w:rsidP="00604A69">
      <w:pPr>
        <w:rPr>
          <w:rFonts w:eastAsiaTheme="minorHAnsi"/>
          <w:lang w:val="de-AT"/>
        </w:rPr>
      </w:pPr>
    </w:p>
    <w:p w:rsidR="008637EB" w:rsidRPr="008637EB" w:rsidRDefault="008637EB" w:rsidP="008637EB">
      <w:pPr>
        <w:pStyle w:val="Betreff"/>
        <w:suppressAutoHyphens/>
        <w:jc w:val="both"/>
        <w:rPr>
          <w:sz w:val="20"/>
          <w:lang w:val="de-AT"/>
        </w:rPr>
      </w:pPr>
      <w:r w:rsidRPr="008637EB">
        <w:rPr>
          <w:sz w:val="20"/>
          <w:lang w:val="de-AT"/>
        </w:rPr>
        <w:t>Die Einführung intelligenter Gas-Messgeräte (Smart Meter) in den EU-Mitgliedsstaaten ist im Dritten Energie-Binnenmarktpaket vorgesehen. Anders als bei den Vorgaben zu Smart Meter im Strombereich, gibt die Richtlinie 2009/73/EG für den Gasbereich weder einen konkreten Zeitplan für die Einführung, noch eine bestimmte Quote hinsichtlich der Ausstattung der Haushalte mit intelligenten Gas-Messgeräten vor. Den Mitgliedsländern wird hingegen aufgetragen, die Einführung von einer positiven Kosten/Nutzenanalyse, in der die Vor- und Nachteile für einzelne Verbrauchergruppen zu prüfen sind, abhängig zu machen.</w:t>
      </w:r>
    </w:p>
    <w:p w:rsidR="008637EB" w:rsidRPr="008637EB" w:rsidRDefault="008637EB" w:rsidP="008637EB">
      <w:pPr>
        <w:pStyle w:val="Betreff"/>
        <w:suppressAutoHyphens/>
        <w:jc w:val="both"/>
        <w:rPr>
          <w:sz w:val="20"/>
          <w:lang w:val="de-AT"/>
        </w:rPr>
      </w:pPr>
      <w:r w:rsidRPr="008637EB">
        <w:rPr>
          <w:sz w:val="20"/>
          <w:lang w:val="de-AT"/>
        </w:rPr>
        <w:t xml:space="preserve">In Österreich wurde mit § 128 Absatz 1 GWG 2011 die europäische Vorgabe umgesetzt. Demnach kann der Wirtschaftsminister nach Durchführung einer Kosten/Nutzenanalyse die Einführung von intelligenten Messgeräten mittels Verordnung festlegen. Mit § 128 Absatz 2 GWG 2011 wird die Regulierungsbehörde ermächtigt, eine Verordnung zu den technischen Mindestfunktionalitäten von intelligenten Messgeräten zu erlassen. Die damit in Zusammenhang stehenden Kosten </w:t>
      </w:r>
      <w:r w:rsidR="00604A69">
        <w:rPr>
          <w:sz w:val="20"/>
          <w:lang w:val="de-AT"/>
        </w:rPr>
        <w:t>sind</w:t>
      </w:r>
      <w:r w:rsidRPr="008637EB">
        <w:rPr>
          <w:sz w:val="20"/>
          <w:lang w:val="de-AT"/>
        </w:rPr>
        <w:t xml:space="preserve"> gemäß § 79 GWG 2011 bei der Ermittlung der Kostenbasis für die Entgeltbestimmung anzusetzen</w:t>
      </w:r>
      <w:r w:rsidR="00604A69">
        <w:rPr>
          <w:sz w:val="20"/>
          <w:lang w:val="de-AT"/>
        </w:rPr>
        <w:t>.</w:t>
      </w:r>
    </w:p>
    <w:p w:rsidR="008637EB" w:rsidRPr="008637EB" w:rsidRDefault="008637EB" w:rsidP="008637EB">
      <w:pPr>
        <w:pStyle w:val="Betreff"/>
        <w:suppressAutoHyphens/>
        <w:jc w:val="both"/>
        <w:rPr>
          <w:sz w:val="20"/>
          <w:lang w:val="de-AT"/>
        </w:rPr>
      </w:pPr>
      <w:r w:rsidRPr="008637EB">
        <w:rPr>
          <w:sz w:val="20"/>
          <w:lang w:val="de-AT"/>
        </w:rPr>
        <w:t>Im gegenständliche</w:t>
      </w:r>
      <w:r w:rsidR="00BA2E24">
        <w:rPr>
          <w:sz w:val="20"/>
          <w:lang w:val="de-AT"/>
        </w:rPr>
        <w:t>n</w:t>
      </w:r>
      <w:r w:rsidRPr="008637EB">
        <w:rPr>
          <w:sz w:val="20"/>
          <w:lang w:val="de-AT"/>
        </w:rPr>
        <w:t xml:space="preserve"> Verordnungsentwurf werden die technischen Mindeststandards, insbesondere hinsichtlich der bidirektionalen Kommunikationsmöglichkeiten, der Kommunikationsschnittstellen, des Messintervalls, der Fernsteuermöglichkeiten, der Datensicherheit und Fehlerprotokollierung der intelligenten Messgeräte geregelt.</w:t>
      </w:r>
    </w:p>
    <w:p w:rsidR="008637EB" w:rsidRDefault="008637EB" w:rsidP="008637EB">
      <w:pPr>
        <w:pStyle w:val="Betreff"/>
        <w:suppressAutoHyphens/>
        <w:jc w:val="both"/>
        <w:rPr>
          <w:sz w:val="20"/>
          <w:lang w:val="de-AT"/>
        </w:rPr>
      </w:pPr>
      <w:r w:rsidRPr="008637EB">
        <w:rPr>
          <w:sz w:val="20"/>
          <w:lang w:val="de-AT"/>
        </w:rPr>
        <w:t xml:space="preserve">Die BAK hat bereits in ihren Stellungnahmen zu den Verordnungen im Zusammenhang mit der Einführung von Smart Meter in Strombereich ihre kritische Haltung zu einer verpflichtenden Einführung von intelligenten Messgeräten ausführlich dargelegt. </w:t>
      </w:r>
      <w:r w:rsidR="00604A69">
        <w:rPr>
          <w:sz w:val="20"/>
          <w:lang w:val="de-AT"/>
        </w:rPr>
        <w:t xml:space="preserve">Diese </w:t>
      </w:r>
      <w:r w:rsidRPr="008637EB">
        <w:rPr>
          <w:sz w:val="20"/>
          <w:lang w:val="de-AT"/>
        </w:rPr>
        <w:t xml:space="preserve">Bedenken sind für den Raumwärmebereich noch massiver. </w:t>
      </w:r>
      <w:r w:rsidRPr="008637EB">
        <w:rPr>
          <w:b/>
          <w:sz w:val="20"/>
          <w:lang w:val="de-AT"/>
        </w:rPr>
        <w:t xml:space="preserve">Aus diesem Grund lehnt die </w:t>
      </w:r>
      <w:r w:rsidRPr="008637EB">
        <w:rPr>
          <w:b/>
          <w:sz w:val="20"/>
          <w:lang w:val="de-AT"/>
        </w:rPr>
        <w:lastRenderedPageBreak/>
        <w:t>BAK eine</w:t>
      </w:r>
      <w:r w:rsidR="00E331B3">
        <w:rPr>
          <w:b/>
          <w:sz w:val="20"/>
          <w:lang w:val="de-AT"/>
        </w:rPr>
        <w:t xml:space="preserve"> verpflichtende flächendeckende</w:t>
      </w:r>
      <w:r w:rsidRPr="008637EB">
        <w:rPr>
          <w:b/>
          <w:sz w:val="20"/>
          <w:lang w:val="de-AT"/>
        </w:rPr>
        <w:t xml:space="preserve"> Einführung von </w:t>
      </w:r>
      <w:r w:rsidR="005B326C">
        <w:rPr>
          <w:b/>
          <w:sz w:val="20"/>
          <w:lang w:val="de-AT"/>
        </w:rPr>
        <w:t>i</w:t>
      </w:r>
      <w:r w:rsidRPr="008637EB">
        <w:rPr>
          <w:b/>
          <w:sz w:val="20"/>
          <w:lang w:val="de-AT"/>
        </w:rPr>
        <w:t>ntelligenten Gas-Messgeräten ab</w:t>
      </w:r>
      <w:r w:rsidR="00604A69">
        <w:rPr>
          <w:sz w:val="20"/>
          <w:lang w:val="de-AT"/>
        </w:rPr>
        <w:t>.</w:t>
      </w:r>
    </w:p>
    <w:p w:rsidR="005B326C" w:rsidRPr="005B326C" w:rsidRDefault="005B326C" w:rsidP="005B326C">
      <w:pPr>
        <w:rPr>
          <w:rFonts w:eastAsiaTheme="minorHAnsi"/>
          <w:lang w:val="de-AT"/>
        </w:rPr>
      </w:pPr>
    </w:p>
    <w:p w:rsidR="008637EB" w:rsidRDefault="008637EB" w:rsidP="008637EB">
      <w:pPr>
        <w:pStyle w:val="Betreff"/>
        <w:suppressAutoHyphens/>
        <w:jc w:val="both"/>
        <w:rPr>
          <w:sz w:val="20"/>
          <w:lang w:val="de-AT"/>
        </w:rPr>
      </w:pPr>
      <w:r w:rsidRPr="008637EB">
        <w:rPr>
          <w:sz w:val="20"/>
          <w:lang w:val="de-AT"/>
        </w:rPr>
        <w:t>V</w:t>
      </w:r>
      <w:r w:rsidR="009E3532">
        <w:rPr>
          <w:sz w:val="20"/>
          <w:lang w:val="de-AT"/>
        </w:rPr>
        <w:t>or der Stellungnahme</w:t>
      </w:r>
      <w:r w:rsidRPr="008637EB">
        <w:rPr>
          <w:sz w:val="20"/>
          <w:lang w:val="de-AT"/>
        </w:rPr>
        <w:t xml:space="preserve"> zu den technischen Mindeststandards möchte die BAK noch eine generelle Einschätzung und Darlegung dieser schwerwiegenden Bedenken hinsichtlich einer verpflichtenden Einführung darlegen. Diese betreffen</w:t>
      </w:r>
      <w:r w:rsidR="005B326C">
        <w:rPr>
          <w:sz w:val="20"/>
          <w:lang w:val="de-AT"/>
        </w:rPr>
        <w:t>:</w:t>
      </w:r>
    </w:p>
    <w:p w:rsidR="005B326C" w:rsidRPr="005B326C" w:rsidRDefault="005B326C" w:rsidP="005B326C">
      <w:pPr>
        <w:rPr>
          <w:rFonts w:eastAsiaTheme="minorHAnsi"/>
          <w:lang w:val="de-AT"/>
        </w:rPr>
      </w:pPr>
    </w:p>
    <w:p w:rsidR="008637EB" w:rsidRPr="008637EB" w:rsidRDefault="00E331B3" w:rsidP="00604A69">
      <w:pPr>
        <w:pStyle w:val="Betreff"/>
        <w:numPr>
          <w:ilvl w:val="0"/>
          <w:numId w:val="1"/>
        </w:numPr>
        <w:tabs>
          <w:tab w:val="left" w:pos="284"/>
        </w:tabs>
        <w:suppressAutoHyphens/>
        <w:ind w:left="284" w:hanging="284"/>
        <w:jc w:val="both"/>
        <w:rPr>
          <w:sz w:val="20"/>
          <w:lang w:val="de-AT"/>
        </w:rPr>
      </w:pPr>
      <w:r>
        <w:rPr>
          <w:sz w:val="20"/>
          <w:lang w:val="de-AT"/>
        </w:rPr>
        <w:t>F</w:t>
      </w:r>
      <w:r w:rsidR="008637EB" w:rsidRPr="008637EB">
        <w:rPr>
          <w:sz w:val="20"/>
          <w:lang w:val="de-AT"/>
        </w:rPr>
        <w:t>ehlende nachvollziehbare Kosten/Nutzenanalyse hinsichtlich der Auswirkungen auf einzelne Verbrauchergruppen (Sensitivitätsanaly</w:t>
      </w:r>
      <w:r w:rsidR="009E3532">
        <w:rPr>
          <w:sz w:val="20"/>
          <w:lang w:val="de-AT"/>
        </w:rPr>
        <w:t>se)</w:t>
      </w:r>
      <w:r w:rsidR="005B326C">
        <w:rPr>
          <w:sz w:val="20"/>
          <w:lang w:val="de-AT"/>
        </w:rPr>
        <w:t>,</w:t>
      </w:r>
    </w:p>
    <w:p w:rsidR="008637EB" w:rsidRPr="008637EB" w:rsidRDefault="008637EB" w:rsidP="00604A69">
      <w:pPr>
        <w:pStyle w:val="Betreff"/>
        <w:numPr>
          <w:ilvl w:val="0"/>
          <w:numId w:val="1"/>
        </w:numPr>
        <w:tabs>
          <w:tab w:val="left" w:pos="284"/>
        </w:tabs>
        <w:suppressAutoHyphens/>
        <w:ind w:left="0" w:firstLine="0"/>
        <w:jc w:val="both"/>
        <w:rPr>
          <w:sz w:val="20"/>
          <w:lang w:val="de-AT"/>
        </w:rPr>
      </w:pPr>
      <w:r w:rsidRPr="008637EB">
        <w:rPr>
          <w:sz w:val="20"/>
          <w:lang w:val="de-AT"/>
        </w:rPr>
        <w:t>Vorteile und Probleme be</w:t>
      </w:r>
      <w:r w:rsidR="009E3532">
        <w:rPr>
          <w:sz w:val="20"/>
          <w:lang w:val="de-AT"/>
        </w:rPr>
        <w:t>i Ablesung und Abrechnung</w:t>
      </w:r>
      <w:r w:rsidR="005B326C">
        <w:rPr>
          <w:sz w:val="20"/>
          <w:lang w:val="de-AT"/>
        </w:rPr>
        <w:t>,</w:t>
      </w:r>
    </w:p>
    <w:p w:rsidR="008637EB" w:rsidRPr="008637EB" w:rsidRDefault="008637EB" w:rsidP="00604A69">
      <w:pPr>
        <w:pStyle w:val="Betreff"/>
        <w:numPr>
          <w:ilvl w:val="0"/>
          <w:numId w:val="1"/>
        </w:numPr>
        <w:tabs>
          <w:tab w:val="left" w:pos="284"/>
        </w:tabs>
        <w:suppressAutoHyphens/>
        <w:ind w:left="284" w:hanging="284"/>
        <w:jc w:val="both"/>
        <w:rPr>
          <w:sz w:val="20"/>
          <w:lang w:val="de-AT"/>
        </w:rPr>
      </w:pPr>
      <w:r w:rsidRPr="008637EB">
        <w:rPr>
          <w:sz w:val="20"/>
          <w:lang w:val="de-AT"/>
        </w:rPr>
        <w:t xml:space="preserve">drohende Kostenbelastung für </w:t>
      </w:r>
      <w:proofErr w:type="spellStart"/>
      <w:r w:rsidRPr="008637EB">
        <w:rPr>
          <w:sz w:val="20"/>
          <w:lang w:val="de-AT"/>
        </w:rPr>
        <w:t>KonsumentInnen</w:t>
      </w:r>
      <w:proofErr w:type="spellEnd"/>
      <w:r w:rsidRPr="008637EB">
        <w:rPr>
          <w:sz w:val="20"/>
          <w:lang w:val="de-AT"/>
        </w:rPr>
        <w:t xml:space="preserve"> durch den Zählertausch und der notwendi</w:t>
      </w:r>
      <w:r w:rsidR="009E3532">
        <w:rPr>
          <w:sz w:val="20"/>
          <w:lang w:val="de-AT"/>
        </w:rPr>
        <w:t>gen Kommunikationsinfrastruktur</w:t>
      </w:r>
      <w:r w:rsidR="005B326C">
        <w:rPr>
          <w:sz w:val="20"/>
          <w:lang w:val="de-AT"/>
        </w:rPr>
        <w:t>,</w:t>
      </w:r>
    </w:p>
    <w:p w:rsidR="008637EB" w:rsidRPr="008637EB" w:rsidRDefault="008637EB" w:rsidP="00604A69">
      <w:pPr>
        <w:pStyle w:val="Betreff"/>
        <w:numPr>
          <w:ilvl w:val="0"/>
          <w:numId w:val="1"/>
        </w:numPr>
        <w:tabs>
          <w:tab w:val="left" w:pos="284"/>
        </w:tabs>
        <w:suppressAutoHyphens/>
        <w:ind w:left="0" w:firstLine="0"/>
        <w:jc w:val="both"/>
        <w:rPr>
          <w:sz w:val="20"/>
          <w:lang w:val="de-AT"/>
        </w:rPr>
      </w:pPr>
      <w:r w:rsidRPr="008637EB">
        <w:rPr>
          <w:sz w:val="20"/>
          <w:lang w:val="de-AT"/>
        </w:rPr>
        <w:t>ungenügendes Einsparungspotential</w:t>
      </w:r>
      <w:r w:rsidR="005B326C">
        <w:rPr>
          <w:sz w:val="20"/>
          <w:lang w:val="de-AT"/>
        </w:rPr>
        <w:t>,</w:t>
      </w:r>
    </w:p>
    <w:p w:rsidR="008637EB" w:rsidRPr="008637EB" w:rsidRDefault="008637EB" w:rsidP="00604A69">
      <w:pPr>
        <w:pStyle w:val="Betreff"/>
        <w:numPr>
          <w:ilvl w:val="0"/>
          <w:numId w:val="1"/>
        </w:numPr>
        <w:tabs>
          <w:tab w:val="left" w:pos="284"/>
        </w:tabs>
        <w:suppressAutoHyphens/>
        <w:ind w:left="284" w:hanging="284"/>
        <w:jc w:val="both"/>
        <w:rPr>
          <w:sz w:val="20"/>
          <w:lang w:val="de-AT"/>
        </w:rPr>
      </w:pPr>
      <w:r w:rsidRPr="008637EB">
        <w:rPr>
          <w:sz w:val="20"/>
          <w:lang w:val="de-AT"/>
        </w:rPr>
        <w:t xml:space="preserve">Gefahr eines "Tarifdschungels" und Diskriminierungen von Bevölkerungsgruppen durch </w:t>
      </w:r>
      <w:r w:rsidR="009E3532">
        <w:rPr>
          <w:sz w:val="20"/>
          <w:lang w:val="de-AT"/>
        </w:rPr>
        <w:t>tageszeitabhängige Tarife sowie</w:t>
      </w:r>
    </w:p>
    <w:p w:rsidR="008637EB" w:rsidRPr="008637EB" w:rsidRDefault="008637EB" w:rsidP="00604A69">
      <w:pPr>
        <w:pStyle w:val="Betreff"/>
        <w:numPr>
          <w:ilvl w:val="0"/>
          <w:numId w:val="1"/>
        </w:numPr>
        <w:tabs>
          <w:tab w:val="left" w:pos="284"/>
        </w:tabs>
        <w:suppressAutoHyphens/>
        <w:ind w:left="0" w:firstLine="0"/>
        <w:jc w:val="both"/>
        <w:rPr>
          <w:sz w:val="20"/>
          <w:lang w:val="de-AT"/>
        </w:rPr>
      </w:pPr>
      <w:r w:rsidRPr="008637EB">
        <w:rPr>
          <w:sz w:val="20"/>
          <w:lang w:val="de-AT"/>
        </w:rPr>
        <w:t>datenschutzrechtliche und sicherheitstechnische Vorbehalte</w:t>
      </w:r>
      <w:r w:rsidR="009E3532">
        <w:rPr>
          <w:sz w:val="20"/>
          <w:lang w:val="de-AT"/>
        </w:rPr>
        <w:t>.</w:t>
      </w:r>
    </w:p>
    <w:p w:rsidR="008637EB" w:rsidRDefault="008637EB" w:rsidP="008637EB">
      <w:pPr>
        <w:pStyle w:val="Betreff"/>
        <w:suppressAutoHyphens/>
        <w:jc w:val="both"/>
        <w:rPr>
          <w:b/>
          <w:sz w:val="20"/>
          <w:lang w:val="de-AT"/>
        </w:rPr>
      </w:pPr>
    </w:p>
    <w:p w:rsidR="009E3532" w:rsidRPr="009E3532" w:rsidRDefault="009E3532" w:rsidP="009E3532">
      <w:pPr>
        <w:rPr>
          <w:rFonts w:eastAsiaTheme="minorHAnsi"/>
          <w:lang w:val="de-AT"/>
        </w:rPr>
      </w:pPr>
    </w:p>
    <w:p w:rsidR="008637EB" w:rsidRDefault="008637EB" w:rsidP="008637EB">
      <w:pPr>
        <w:pStyle w:val="Betreff"/>
        <w:suppressAutoHyphens/>
        <w:jc w:val="both"/>
        <w:rPr>
          <w:b/>
          <w:sz w:val="20"/>
          <w:lang w:val="de-AT"/>
        </w:rPr>
      </w:pPr>
      <w:r w:rsidRPr="008637EB">
        <w:rPr>
          <w:b/>
          <w:sz w:val="20"/>
          <w:lang w:val="de-AT"/>
        </w:rPr>
        <w:t>Generelle Einschätzung der BAK zur Einführung von intelligenten Gas-Messgeräten:</w:t>
      </w:r>
    </w:p>
    <w:p w:rsidR="009E3532" w:rsidRPr="009E3532" w:rsidRDefault="009E3532" w:rsidP="009E3532">
      <w:pPr>
        <w:rPr>
          <w:rFonts w:eastAsiaTheme="minorHAnsi"/>
          <w:lang w:val="de-AT"/>
        </w:rPr>
      </w:pPr>
    </w:p>
    <w:p w:rsidR="008637EB" w:rsidRPr="008637EB" w:rsidRDefault="008637EB" w:rsidP="008637EB">
      <w:pPr>
        <w:pStyle w:val="Betreff"/>
        <w:suppressAutoHyphens/>
        <w:jc w:val="both"/>
        <w:rPr>
          <w:sz w:val="20"/>
          <w:lang w:val="de-AT"/>
        </w:rPr>
      </w:pPr>
      <w:r w:rsidRPr="008637EB">
        <w:rPr>
          <w:sz w:val="20"/>
          <w:lang w:val="de-AT"/>
        </w:rPr>
        <w:t>Die Zielsetzung des Gesetzgebers bei einer möglichen Einführung von intelligenten Messgeräten ist im Wesentlichen, dass die Energie-</w:t>
      </w:r>
      <w:proofErr w:type="spellStart"/>
      <w:r w:rsidRPr="008637EB">
        <w:rPr>
          <w:sz w:val="20"/>
          <w:lang w:val="de-AT"/>
        </w:rPr>
        <w:t>KonsumentInnen</w:t>
      </w:r>
      <w:proofErr w:type="spellEnd"/>
      <w:r w:rsidRPr="008637EB">
        <w:rPr>
          <w:sz w:val="20"/>
          <w:lang w:val="de-AT"/>
        </w:rPr>
        <w:t xml:space="preserve"> durch direktes und indirektes Verbrauchs-Feedback mehr Informationen über ihren eigenen Energieverbrauch erhalten. Dadurch soll ein höheres Bewusstsein für den eigenen Energieverbrauch angeregt werden.</w:t>
      </w:r>
    </w:p>
    <w:p w:rsidR="008637EB" w:rsidRPr="008637EB" w:rsidRDefault="008637EB" w:rsidP="008637EB">
      <w:pPr>
        <w:pStyle w:val="Betreff"/>
        <w:suppressAutoHyphens/>
        <w:jc w:val="both"/>
        <w:rPr>
          <w:sz w:val="20"/>
          <w:lang w:val="de-AT"/>
        </w:rPr>
      </w:pPr>
      <w:r w:rsidRPr="008637EB">
        <w:rPr>
          <w:sz w:val="20"/>
          <w:lang w:val="de-AT"/>
        </w:rPr>
        <w:t>Ein unbestrittener Vorteil von in</w:t>
      </w:r>
      <w:r w:rsidR="009E3532">
        <w:rPr>
          <w:sz w:val="20"/>
          <w:lang w:val="de-AT"/>
        </w:rPr>
        <w:t>telligenten Messgeräten ist die</w:t>
      </w:r>
      <w:r w:rsidRPr="008637EB">
        <w:rPr>
          <w:sz w:val="20"/>
          <w:lang w:val="de-AT"/>
        </w:rPr>
        <w:t xml:space="preserve"> </w:t>
      </w:r>
      <w:r w:rsidRPr="008637EB">
        <w:rPr>
          <w:b/>
          <w:sz w:val="20"/>
          <w:lang w:val="de-AT"/>
        </w:rPr>
        <w:t>monatliche Verbrauchserfassung</w:t>
      </w:r>
      <w:r w:rsidRPr="008637EB">
        <w:rPr>
          <w:sz w:val="20"/>
          <w:lang w:val="de-AT"/>
        </w:rPr>
        <w:t xml:space="preserve">, die die bisherigen Verbrauchsschätzungen und rechnerischen Verbrauchsermittlungen obsolet machen und damit auch hohe Nachzahlungsforderungen verhindern </w:t>
      </w:r>
      <w:r w:rsidR="00E331B3">
        <w:rPr>
          <w:sz w:val="20"/>
          <w:lang w:val="de-AT"/>
        </w:rPr>
        <w:t>können</w:t>
      </w:r>
      <w:r w:rsidRPr="008637EB">
        <w:rPr>
          <w:sz w:val="20"/>
          <w:lang w:val="de-AT"/>
        </w:rPr>
        <w:t>. Dieser Vorteil trifft aber nicht auf den Raumwärmebereich</w:t>
      </w:r>
      <w:r w:rsidR="009E3532">
        <w:rPr>
          <w:sz w:val="20"/>
          <w:lang w:val="de-AT"/>
        </w:rPr>
        <w:t xml:space="preserve"> zu:</w:t>
      </w:r>
      <w:r w:rsidRPr="008637EB">
        <w:rPr>
          <w:sz w:val="20"/>
          <w:lang w:val="de-AT"/>
        </w:rPr>
        <w:t xml:space="preserve"> Während im bisherigen Verrechnungssystem der leitungsgebundenen Energieträger (Strom, Gas und Fernwärme) die starken </w:t>
      </w:r>
      <w:r w:rsidRPr="008637EB">
        <w:rPr>
          <w:b/>
          <w:sz w:val="20"/>
          <w:lang w:val="de-AT"/>
        </w:rPr>
        <w:t>saisonalen Verbrauchsschwankungen</w:t>
      </w:r>
      <w:r w:rsidRPr="008637EB">
        <w:rPr>
          <w:sz w:val="20"/>
          <w:lang w:val="de-AT"/>
        </w:rPr>
        <w:t xml:space="preserve"> durch das System der Teilzahlungsbeträge "geglättet" wurden, würde eine verbrauchsnahe, monatliche Abrechnung die Haushaltbudgets in den energieintensiven Wintermonaten stark belasten. Dies könnte für einkommensschwache Haushalte, insbesondere in der Einführungsphase, ein schwerwiegendes Problem darstellen.</w:t>
      </w:r>
    </w:p>
    <w:p w:rsidR="008637EB" w:rsidRPr="008637EB" w:rsidRDefault="008637EB" w:rsidP="008637EB">
      <w:pPr>
        <w:pStyle w:val="Betreff"/>
        <w:suppressAutoHyphens/>
        <w:jc w:val="both"/>
        <w:rPr>
          <w:sz w:val="20"/>
          <w:lang w:val="de-AT"/>
        </w:rPr>
      </w:pPr>
      <w:r w:rsidRPr="008637EB">
        <w:rPr>
          <w:b/>
          <w:sz w:val="20"/>
          <w:lang w:val="de-AT"/>
        </w:rPr>
        <w:t>Schwerwiegende konsumentenpolitische Bedenken</w:t>
      </w:r>
      <w:r w:rsidRPr="008637EB">
        <w:rPr>
          <w:sz w:val="20"/>
          <w:lang w:val="de-AT"/>
        </w:rPr>
        <w:t xml:space="preserve"> hat die BAK auch </w:t>
      </w:r>
      <w:r w:rsidRPr="008637EB">
        <w:rPr>
          <w:b/>
          <w:sz w:val="20"/>
          <w:lang w:val="de-AT"/>
        </w:rPr>
        <w:t>hinsichtlich der Kosten</w:t>
      </w:r>
      <w:r w:rsidRPr="008637EB">
        <w:rPr>
          <w:sz w:val="20"/>
          <w:lang w:val="de-AT"/>
        </w:rPr>
        <w:t>, die durch die mögliche Einführu</w:t>
      </w:r>
      <w:r w:rsidR="00E331B3">
        <w:rPr>
          <w:sz w:val="20"/>
          <w:lang w:val="de-AT"/>
        </w:rPr>
        <w:t>ng von intelligenten Gas-</w:t>
      </w:r>
      <w:r w:rsidRPr="008637EB">
        <w:rPr>
          <w:sz w:val="20"/>
          <w:lang w:val="de-AT"/>
        </w:rPr>
        <w:t xml:space="preserve">Messgeräten auf die </w:t>
      </w:r>
      <w:proofErr w:type="spellStart"/>
      <w:r w:rsidRPr="008637EB">
        <w:rPr>
          <w:sz w:val="20"/>
          <w:lang w:val="de-AT"/>
        </w:rPr>
        <w:t>KonsumentInnen</w:t>
      </w:r>
      <w:proofErr w:type="spellEnd"/>
      <w:r w:rsidRPr="008637EB">
        <w:rPr>
          <w:sz w:val="20"/>
          <w:lang w:val="de-AT"/>
        </w:rPr>
        <w:t xml:space="preserve"> zukommen könnten. Der Austausch des gesamten Zählerparks, die Herstellung der notwendigen Kommunikations- und IT-Infrastruktur sowie die laufenden Kosten beim Betrieb der Smart-Meter-Systeme bringen hohe Investitionskosten mit sich, die aufgrund der technischen Anforderungen im Raumwärmebereich noch höher ausfallen, </w:t>
      </w:r>
      <w:r w:rsidR="00276389">
        <w:rPr>
          <w:sz w:val="20"/>
          <w:lang w:val="de-AT"/>
        </w:rPr>
        <w:t>als im Strombereich.</w:t>
      </w:r>
      <w:r w:rsidRPr="008637EB">
        <w:rPr>
          <w:sz w:val="20"/>
          <w:lang w:val="de-AT"/>
        </w:rPr>
        <w:t xml:space="preserve"> </w:t>
      </w:r>
      <w:proofErr w:type="spellStart"/>
      <w:r w:rsidRPr="008637EB">
        <w:rPr>
          <w:sz w:val="20"/>
          <w:lang w:val="de-AT"/>
        </w:rPr>
        <w:t>ExpertInnen</w:t>
      </w:r>
      <w:proofErr w:type="spellEnd"/>
      <w:r w:rsidRPr="008637EB">
        <w:rPr>
          <w:sz w:val="20"/>
          <w:lang w:val="de-AT"/>
        </w:rPr>
        <w:t xml:space="preserve"> schätzen die Kosten für ein intelligentes Gas-Messgerät auf über 100 Euro, dazu kommen noch Installationskosten von rund 50 Euro. Alleine in Wien sind derzeit rund</w:t>
      </w:r>
      <w:r w:rsidR="00276389">
        <w:rPr>
          <w:sz w:val="20"/>
          <w:lang w:val="de-AT"/>
        </w:rPr>
        <w:t xml:space="preserve"> 670.000 Gaszähler installiert.</w:t>
      </w:r>
      <w:r w:rsidRPr="008637EB">
        <w:rPr>
          <w:sz w:val="20"/>
          <w:lang w:val="de-AT"/>
        </w:rPr>
        <w:t xml:space="preserve"> Angesichts der ohnedies hohen Gaspreise</w:t>
      </w:r>
      <w:r w:rsidR="00276389">
        <w:rPr>
          <w:sz w:val="20"/>
          <w:lang w:val="de-AT"/>
        </w:rPr>
        <w:t>,</w:t>
      </w:r>
      <w:r w:rsidRPr="008637EB">
        <w:rPr>
          <w:sz w:val="20"/>
          <w:lang w:val="de-AT"/>
        </w:rPr>
        <w:t xml:space="preserve"> sind aus Sicht der BAK </w:t>
      </w:r>
      <w:r w:rsidRPr="008637EB">
        <w:rPr>
          <w:b/>
          <w:sz w:val="20"/>
          <w:lang w:val="de-AT"/>
        </w:rPr>
        <w:t>weitere Kostensteigerungen für die Haushalte strikt abzulehnen</w:t>
      </w:r>
      <w:r w:rsidRPr="008637EB">
        <w:rPr>
          <w:sz w:val="20"/>
          <w:lang w:val="de-AT"/>
        </w:rPr>
        <w:t>.</w:t>
      </w:r>
    </w:p>
    <w:p w:rsidR="008637EB" w:rsidRPr="008637EB" w:rsidRDefault="008637EB" w:rsidP="008637EB">
      <w:pPr>
        <w:pStyle w:val="Betreff"/>
        <w:suppressAutoHyphens/>
        <w:jc w:val="both"/>
        <w:rPr>
          <w:sz w:val="20"/>
          <w:lang w:val="de-AT"/>
        </w:rPr>
      </w:pPr>
      <w:r w:rsidRPr="008637EB">
        <w:rPr>
          <w:sz w:val="20"/>
          <w:lang w:val="de-AT"/>
        </w:rPr>
        <w:lastRenderedPageBreak/>
        <w:t xml:space="preserve">Von </w:t>
      </w:r>
      <w:proofErr w:type="spellStart"/>
      <w:r w:rsidR="00276389">
        <w:rPr>
          <w:sz w:val="20"/>
          <w:lang w:val="de-AT"/>
        </w:rPr>
        <w:t>BefürworterI</w:t>
      </w:r>
      <w:r w:rsidR="00276389" w:rsidRPr="008637EB">
        <w:rPr>
          <w:sz w:val="20"/>
          <w:lang w:val="de-AT"/>
        </w:rPr>
        <w:t>nnen</w:t>
      </w:r>
      <w:proofErr w:type="spellEnd"/>
      <w:r w:rsidRPr="008637EB">
        <w:rPr>
          <w:sz w:val="20"/>
          <w:lang w:val="de-AT"/>
        </w:rPr>
        <w:t xml:space="preserve"> der Einführung von intelligenten Messgeräten wird in erster Linie auf </w:t>
      </w:r>
      <w:r w:rsidRPr="008637EB">
        <w:rPr>
          <w:b/>
          <w:sz w:val="20"/>
          <w:lang w:val="de-AT"/>
        </w:rPr>
        <w:t>mögliche Energieeinsparungen</w:t>
      </w:r>
      <w:r w:rsidRPr="008637EB">
        <w:rPr>
          <w:sz w:val="20"/>
          <w:lang w:val="de-AT"/>
        </w:rPr>
        <w:t xml:space="preserve"> verwiesen, um auch einen monetären Nutzen auf </w:t>
      </w:r>
      <w:proofErr w:type="spellStart"/>
      <w:r w:rsidRPr="008637EB">
        <w:rPr>
          <w:sz w:val="20"/>
          <w:lang w:val="de-AT"/>
        </w:rPr>
        <w:t>KonsumentInnenseite</w:t>
      </w:r>
      <w:proofErr w:type="spellEnd"/>
      <w:r w:rsidRPr="008637EB">
        <w:rPr>
          <w:sz w:val="20"/>
          <w:lang w:val="de-AT"/>
        </w:rPr>
        <w:t xml:space="preserve"> abzubilden. Die BAK hat zu diesen Einschätzungen schon </w:t>
      </w:r>
      <w:r w:rsidR="00276389">
        <w:rPr>
          <w:sz w:val="20"/>
          <w:lang w:val="de-AT"/>
        </w:rPr>
        <w:t>in ihren Stellungnahmen</w:t>
      </w:r>
      <w:r w:rsidRPr="008637EB">
        <w:rPr>
          <w:sz w:val="20"/>
          <w:lang w:val="de-AT"/>
        </w:rPr>
        <w:t xml:space="preserve"> zur Einführung von intelligenten Messgeräten für den Strombereich ihre Bedenken ausführlich dargelegt. Diese wiegen für den Raumwärmebedarf allerdings noch </w:t>
      </w:r>
      <w:r w:rsidR="00276389">
        <w:rPr>
          <w:sz w:val="20"/>
          <w:lang w:val="de-AT"/>
        </w:rPr>
        <w:t>schwerwiegender:</w:t>
      </w:r>
      <w:r w:rsidRPr="008637EB">
        <w:rPr>
          <w:sz w:val="20"/>
          <w:lang w:val="de-AT"/>
        </w:rPr>
        <w:t xml:space="preserve"> Erdgas wird zur Erzeugung von Raumwärme und teilweise zur Warmwassererzeugung verwendet. Gerade die für die Erzeugung von Raumwärme notwendige Energie ist aber primär von den Außentemperaturen im Winter und dem thermischen Gebäudestandard abhängig, unterliegt also </w:t>
      </w:r>
      <w:r w:rsidRPr="008637EB">
        <w:rPr>
          <w:b/>
          <w:sz w:val="20"/>
          <w:lang w:val="de-AT"/>
        </w:rPr>
        <w:t>saisonalen Schwankungen</w:t>
      </w:r>
      <w:r w:rsidRPr="008637EB">
        <w:rPr>
          <w:sz w:val="20"/>
          <w:lang w:val="de-AT"/>
        </w:rPr>
        <w:t xml:space="preserve">. Der Vergleich der benötigten Energie von einem Monat zum anderen oder von einer Heizperiode zur nächsten ist deshalb grundsätzlich nicht möglich, da die Rahmenbedingungen jeweils anders sind. Andererseits ist für die Erkenntnis, dass durch bewusstes Heizen Gas gespart werden kann, kein intelligentes Messgerät notwendig. Noch unrealistischer ist es, aufgrund von Informationen über den Gasverbrauch im Rahmen der Warmwasseraufbereitung Energie sparen zu können, vor allem, wenn es sich um Durchlauferhitzer handelt. Es kann davon ausgegangen werden, dass hinlänglich bekannt ist, dass durch sparsamen Umgang mit Warmwasser auch Energie gespart werden kann. In diesem Zusammenhang zweifeln viele </w:t>
      </w:r>
      <w:proofErr w:type="spellStart"/>
      <w:r w:rsidRPr="008637EB">
        <w:rPr>
          <w:sz w:val="20"/>
          <w:lang w:val="de-AT"/>
        </w:rPr>
        <w:t>ExpertInnen</w:t>
      </w:r>
      <w:proofErr w:type="spellEnd"/>
      <w:r w:rsidRPr="008637EB">
        <w:rPr>
          <w:sz w:val="20"/>
          <w:lang w:val="de-AT"/>
        </w:rPr>
        <w:t xml:space="preserve"> auch die Ergebnisse der von der E-Control in Auftrag gegebene PWC-Studie zur Einführung von Smart </w:t>
      </w:r>
      <w:proofErr w:type="spellStart"/>
      <w:r w:rsidRPr="008637EB">
        <w:rPr>
          <w:sz w:val="20"/>
          <w:lang w:val="de-AT"/>
        </w:rPr>
        <w:t>Metering</w:t>
      </w:r>
      <w:proofErr w:type="spellEnd"/>
      <w:r w:rsidRPr="008637EB">
        <w:rPr>
          <w:sz w:val="20"/>
          <w:lang w:val="de-AT"/>
        </w:rPr>
        <w:t xml:space="preserve"> an, die im Gasbereich für die Haushalte eine Verbrauc</w:t>
      </w:r>
      <w:r w:rsidR="00E331B3">
        <w:rPr>
          <w:sz w:val="20"/>
          <w:lang w:val="de-AT"/>
        </w:rPr>
        <w:t>hsreduktion von 7% errechnet</w:t>
      </w:r>
      <w:r w:rsidR="00035142">
        <w:rPr>
          <w:sz w:val="20"/>
          <w:lang w:val="de-AT"/>
        </w:rPr>
        <w:t>.</w:t>
      </w:r>
      <w:r w:rsidRPr="008637EB">
        <w:rPr>
          <w:sz w:val="20"/>
          <w:lang w:val="de-AT"/>
        </w:rPr>
        <w:t xml:space="preserve"> Anderer Studien kommen hingegen nur zu einer maximalen Verbrauchsre</w:t>
      </w:r>
      <w:r w:rsidR="00035142">
        <w:rPr>
          <w:sz w:val="20"/>
          <w:lang w:val="de-AT"/>
        </w:rPr>
        <w:t>duktion von 2% bis 3%.</w:t>
      </w:r>
    </w:p>
    <w:p w:rsidR="008637EB" w:rsidRPr="008637EB" w:rsidRDefault="00035142" w:rsidP="008637EB">
      <w:pPr>
        <w:pStyle w:val="Betreff"/>
        <w:suppressAutoHyphens/>
        <w:jc w:val="both"/>
        <w:rPr>
          <w:sz w:val="20"/>
          <w:lang w:val="de-AT"/>
        </w:rPr>
      </w:pPr>
      <w:r>
        <w:rPr>
          <w:sz w:val="20"/>
          <w:lang w:val="de-AT"/>
        </w:rPr>
        <w:t>Im Hinblick auf die Bedenken</w:t>
      </w:r>
      <w:r w:rsidR="008637EB" w:rsidRPr="008637EB">
        <w:rPr>
          <w:sz w:val="20"/>
          <w:lang w:val="de-AT"/>
        </w:rPr>
        <w:t xml:space="preserve"> der BAK bezüglich zu erwartender Preis-Differenzierungen und Diskriminierungen von Bevölkerungsgruppen durch </w:t>
      </w:r>
      <w:r w:rsidR="008637EB" w:rsidRPr="008637EB">
        <w:rPr>
          <w:b/>
          <w:sz w:val="20"/>
          <w:lang w:val="de-AT"/>
        </w:rPr>
        <w:t>tageszeitabhängige Tarife</w:t>
      </w:r>
      <w:r w:rsidR="008637EB" w:rsidRPr="008637EB">
        <w:rPr>
          <w:sz w:val="20"/>
          <w:lang w:val="de-AT"/>
        </w:rPr>
        <w:t xml:space="preserve"> sowie massiver </w:t>
      </w:r>
      <w:r w:rsidR="008637EB" w:rsidRPr="008637EB">
        <w:rPr>
          <w:b/>
          <w:sz w:val="20"/>
          <w:lang w:val="de-AT"/>
        </w:rPr>
        <w:t>datenschutzrechtliche</w:t>
      </w:r>
      <w:r w:rsidR="00E331B3">
        <w:rPr>
          <w:b/>
          <w:sz w:val="20"/>
          <w:lang w:val="de-AT"/>
        </w:rPr>
        <w:t>r</w:t>
      </w:r>
      <w:r w:rsidR="008637EB" w:rsidRPr="008637EB">
        <w:rPr>
          <w:b/>
          <w:sz w:val="20"/>
          <w:lang w:val="de-AT"/>
        </w:rPr>
        <w:t xml:space="preserve"> und sicherheitstechnische</w:t>
      </w:r>
      <w:r w:rsidR="00E331B3">
        <w:rPr>
          <w:b/>
          <w:sz w:val="20"/>
          <w:lang w:val="de-AT"/>
        </w:rPr>
        <w:t>r</w:t>
      </w:r>
      <w:r w:rsidR="008637EB" w:rsidRPr="008637EB">
        <w:rPr>
          <w:sz w:val="20"/>
          <w:lang w:val="de-AT"/>
        </w:rPr>
        <w:t xml:space="preserve"> Vorbehalte verweist die BAK auf die Ausführungen in ihrer Stellungnahme vom 11.</w:t>
      </w:r>
      <w:r w:rsidR="00E62630">
        <w:rPr>
          <w:sz w:val="20"/>
          <w:lang w:val="de-AT"/>
        </w:rPr>
        <w:t>0</w:t>
      </w:r>
      <w:r w:rsidR="008637EB" w:rsidRPr="008637EB">
        <w:rPr>
          <w:sz w:val="20"/>
          <w:lang w:val="de-AT"/>
        </w:rPr>
        <w:t>8.2011 zur IMA-Verordnung 2011.</w:t>
      </w:r>
    </w:p>
    <w:p w:rsidR="008637EB" w:rsidRPr="008637EB" w:rsidRDefault="008637EB" w:rsidP="008637EB">
      <w:pPr>
        <w:pStyle w:val="Betreff"/>
        <w:suppressAutoHyphens/>
        <w:jc w:val="both"/>
        <w:rPr>
          <w:b/>
          <w:sz w:val="20"/>
          <w:lang w:val="de-AT"/>
        </w:rPr>
      </w:pPr>
      <w:r w:rsidRPr="008637EB">
        <w:rPr>
          <w:sz w:val="20"/>
          <w:lang w:val="de-AT"/>
        </w:rPr>
        <w:t>Ungeachtet der oben beschriebenen generellen Vorbehalte der BAK soll nachfolgend auf die Regelungsinhalte der gegenständlichen Verordnung im Detail eingegangen werden.</w:t>
      </w:r>
    </w:p>
    <w:p w:rsidR="00035142" w:rsidRDefault="00035142" w:rsidP="008637EB">
      <w:pPr>
        <w:pStyle w:val="Betreff"/>
        <w:suppressAutoHyphens/>
        <w:jc w:val="both"/>
        <w:rPr>
          <w:b/>
          <w:sz w:val="20"/>
          <w:lang w:val="de-AT"/>
        </w:rPr>
      </w:pPr>
    </w:p>
    <w:p w:rsidR="005B326C" w:rsidRPr="005B326C" w:rsidRDefault="005B326C" w:rsidP="005B326C">
      <w:pPr>
        <w:rPr>
          <w:lang w:val="de-AT"/>
        </w:rPr>
      </w:pPr>
    </w:p>
    <w:p w:rsidR="008637EB" w:rsidRDefault="008637EB" w:rsidP="008637EB">
      <w:pPr>
        <w:pStyle w:val="Betreff"/>
        <w:suppressAutoHyphens/>
        <w:jc w:val="both"/>
        <w:rPr>
          <w:b/>
          <w:sz w:val="20"/>
          <w:lang w:val="de-AT"/>
        </w:rPr>
      </w:pPr>
      <w:r w:rsidRPr="008637EB">
        <w:rPr>
          <w:b/>
          <w:sz w:val="20"/>
          <w:lang w:val="de-AT"/>
        </w:rPr>
        <w:t>Zu den Regelungen der gegenständlichen Verordnung im Detail:</w:t>
      </w:r>
    </w:p>
    <w:p w:rsidR="005B326C" w:rsidRPr="005B326C" w:rsidRDefault="005B326C" w:rsidP="005B326C">
      <w:pPr>
        <w:rPr>
          <w:rFonts w:eastAsiaTheme="minorHAnsi"/>
          <w:lang w:val="de-AT"/>
        </w:rPr>
      </w:pPr>
    </w:p>
    <w:p w:rsidR="008637EB" w:rsidRDefault="008637EB" w:rsidP="008637EB">
      <w:pPr>
        <w:pStyle w:val="Betreff"/>
        <w:suppressAutoHyphens/>
        <w:jc w:val="both"/>
        <w:rPr>
          <w:sz w:val="20"/>
          <w:lang w:val="de-AT"/>
        </w:rPr>
      </w:pPr>
      <w:r w:rsidRPr="008637EB">
        <w:rPr>
          <w:sz w:val="20"/>
          <w:lang w:val="de-AT"/>
        </w:rPr>
        <w:t xml:space="preserve">Grundsätzlich ist festzuhalten, dass </w:t>
      </w:r>
      <w:r w:rsidR="00E331B3">
        <w:rPr>
          <w:sz w:val="20"/>
          <w:lang w:val="de-AT"/>
        </w:rPr>
        <w:t>- entgegen den</w:t>
      </w:r>
      <w:r w:rsidRPr="008637EB">
        <w:rPr>
          <w:sz w:val="20"/>
          <w:lang w:val="de-AT"/>
        </w:rPr>
        <w:t xml:space="preserve"> Messgeräten bei elektrischem Strom, wo die vom elektromechanischen Zähler gemessene Einheit (kWh) auch die, direkt in die Abrechnung </w:t>
      </w:r>
      <w:r w:rsidR="00E331B3">
        <w:rPr>
          <w:sz w:val="20"/>
          <w:lang w:val="de-AT"/>
        </w:rPr>
        <w:t>einfließende Einhe</w:t>
      </w:r>
      <w:bookmarkStart w:id="0" w:name="_GoBack"/>
      <w:bookmarkEnd w:id="0"/>
      <w:r w:rsidR="00E331B3">
        <w:rPr>
          <w:sz w:val="20"/>
          <w:lang w:val="de-AT"/>
        </w:rPr>
        <w:t xml:space="preserve">it darstellt - </w:t>
      </w:r>
      <w:r w:rsidRPr="008637EB">
        <w:rPr>
          <w:sz w:val="20"/>
          <w:lang w:val="de-AT"/>
        </w:rPr>
        <w:t>das Messen von Gas höhere abrechnungstechnische Anforderungen stellt. Gas</w:t>
      </w:r>
      <w:r w:rsidR="00AB40FC">
        <w:rPr>
          <w:sz w:val="20"/>
          <w:lang w:val="de-AT"/>
        </w:rPr>
        <w:t>-M</w:t>
      </w:r>
      <w:r w:rsidRPr="008637EB">
        <w:rPr>
          <w:sz w:val="20"/>
          <w:lang w:val="de-AT"/>
        </w:rPr>
        <w:t>essgeräte messen nach volumetrischen Messverfahren die gelieferte Gasmenge in m³, währenddessen für die Verrechnung beim Gaskunden die kalorische Methodik in Form von kWh abrechnungsrelevant ist. Für diese physikalische Umrechnung sind neben dem Volumen</w:t>
      </w:r>
      <w:r w:rsidR="00E331B3">
        <w:rPr>
          <w:sz w:val="20"/>
          <w:lang w:val="de-AT"/>
        </w:rPr>
        <w:t>,</w:t>
      </w:r>
      <w:r w:rsidRPr="008637EB">
        <w:rPr>
          <w:sz w:val="20"/>
          <w:lang w:val="de-AT"/>
        </w:rPr>
        <w:t xml:space="preserve"> der Druck und die Gastemperatur bei der Lieferung maßgebend. Beide physikalischen Größen wurden bisher nur subsidiär in die Abrechnung miteinbezogen und nicht in einem Echtzeitverfahren an der Übergabestelle bzw. dem Messpunkt exakt gemessen. Diesem Umstand muss beim Übergang von mechanischen Zählern </w:t>
      </w:r>
      <w:r w:rsidR="00E331B3">
        <w:rPr>
          <w:sz w:val="20"/>
          <w:lang w:val="de-AT"/>
        </w:rPr>
        <w:t xml:space="preserve">auf elektronische, intelligente </w:t>
      </w:r>
      <w:r w:rsidRPr="008637EB">
        <w:rPr>
          <w:sz w:val="20"/>
          <w:lang w:val="de-AT"/>
        </w:rPr>
        <w:t>Gas</w:t>
      </w:r>
      <w:r w:rsidR="00E331B3">
        <w:rPr>
          <w:sz w:val="20"/>
          <w:lang w:val="de-AT"/>
        </w:rPr>
        <w:t>-M</w:t>
      </w:r>
      <w:r w:rsidRPr="008637EB">
        <w:rPr>
          <w:sz w:val="20"/>
          <w:lang w:val="de-AT"/>
        </w:rPr>
        <w:t xml:space="preserve">essgeräte </w:t>
      </w:r>
      <w:r w:rsidR="00E62630">
        <w:rPr>
          <w:sz w:val="20"/>
          <w:lang w:val="de-AT"/>
        </w:rPr>
        <w:t>Rechnung getragen werden,</w:t>
      </w:r>
      <w:r w:rsidRPr="008637EB">
        <w:rPr>
          <w:sz w:val="20"/>
          <w:lang w:val="de-AT"/>
        </w:rPr>
        <w:t xml:space="preserve"> um eine exakte, verbesserte Abrechnung der Wärmeeinheiten auch tatsächlich </w:t>
      </w:r>
      <w:r w:rsidR="00035142">
        <w:rPr>
          <w:sz w:val="20"/>
          <w:lang w:val="de-AT"/>
        </w:rPr>
        <w:t>zu gewährleisten.</w:t>
      </w:r>
    </w:p>
    <w:p w:rsidR="008637EB" w:rsidRPr="005B326C" w:rsidRDefault="005B326C" w:rsidP="005B326C">
      <w:pPr>
        <w:rPr>
          <w:rFonts w:eastAsiaTheme="minorHAnsi"/>
          <w:lang w:val="de-AT"/>
        </w:rPr>
      </w:pPr>
      <w:r>
        <w:rPr>
          <w:rFonts w:eastAsiaTheme="minorHAnsi"/>
          <w:lang w:val="de-AT"/>
        </w:rPr>
        <w:br w:type="page"/>
      </w:r>
      <w:r w:rsidR="008637EB" w:rsidRPr="008637EB">
        <w:rPr>
          <w:b/>
          <w:lang w:val="de-AT"/>
        </w:rPr>
        <w:t>Zu § 3 Z 2 – Intervall der Datenerfassung</w:t>
      </w:r>
    </w:p>
    <w:p w:rsidR="008637EB" w:rsidRDefault="008637EB" w:rsidP="008637EB">
      <w:pPr>
        <w:pStyle w:val="Betreff"/>
        <w:suppressAutoHyphens/>
        <w:jc w:val="both"/>
        <w:rPr>
          <w:sz w:val="20"/>
          <w:lang w:val="de-AT"/>
        </w:rPr>
      </w:pPr>
      <w:r w:rsidRPr="008637EB">
        <w:rPr>
          <w:sz w:val="20"/>
          <w:lang w:val="de-AT"/>
        </w:rPr>
        <w:t>In Ziffer 2 wird die technische Möglichkeit einer Verbrauchsdatenerfassung in 60-Minuten-Intervallen verordnet. In den Erläuterungen wird nicht ausgeführt, warum die Erfassung von Zählerständen und Speicherung in 60-Minuten-Intervallen notwendig ist.  Aus Si</w:t>
      </w:r>
      <w:r w:rsidR="00E331B3">
        <w:rPr>
          <w:sz w:val="20"/>
          <w:lang w:val="de-AT"/>
        </w:rPr>
        <w:t xml:space="preserve">cht der BAK </w:t>
      </w:r>
      <w:r w:rsidRPr="008637EB">
        <w:rPr>
          <w:sz w:val="20"/>
          <w:lang w:val="de-AT"/>
        </w:rPr>
        <w:t>muss gewährleistet werden, dass eine Verbrauchsdatenerfassung in 60-Minuten-Intervallen zwar technisch möglich sein soll, aber aus datenschutzrechtlichen Gründen</w:t>
      </w:r>
      <w:r w:rsidRPr="008637EB">
        <w:rPr>
          <w:sz w:val="20"/>
          <w:vertAlign w:val="superscript"/>
          <w:lang w:val="de-AT"/>
        </w:rPr>
        <w:footnoteReference w:id="1"/>
      </w:r>
      <w:r w:rsidRPr="008637EB">
        <w:rPr>
          <w:sz w:val="20"/>
          <w:lang w:val="de-AT"/>
        </w:rPr>
        <w:t xml:space="preserve"> nur nach ausdrücklicher Genehmigung durch die jeweiligen Wärmekunden durchgeführt werden </w:t>
      </w:r>
      <w:r w:rsidR="00E331B3">
        <w:rPr>
          <w:sz w:val="20"/>
          <w:lang w:val="de-AT"/>
        </w:rPr>
        <w:t>darf</w:t>
      </w:r>
      <w:r w:rsidRPr="008637EB">
        <w:rPr>
          <w:sz w:val="20"/>
          <w:lang w:val="de-AT"/>
        </w:rPr>
        <w:t xml:space="preserve">. Das heißt, es sollte eine Differenzierung des Umfangs der Datenverarbeitung durch intelligente Gas-Messgeräte vorgesehen werden. In Ziffer 2 der gegenständlichen Verordnung sollte daher der technische Mindeststandard verordnet werden, </w:t>
      </w:r>
      <w:r w:rsidR="00E331B3">
        <w:rPr>
          <w:sz w:val="20"/>
          <w:lang w:val="de-AT"/>
        </w:rPr>
        <w:t xml:space="preserve">so </w:t>
      </w:r>
      <w:r w:rsidRPr="008637EB">
        <w:rPr>
          <w:sz w:val="20"/>
          <w:lang w:val="de-AT"/>
        </w:rPr>
        <w:t>dass die Intervalle für die Messung und Speicherung von Zählerständen veränderbar zu gestalten ist. Die Zähler sollten in der Lage sein, Daten in einem Intervall von 60-Minuten oder in einem längeren Intervall – jedenfalls 24 Stunden – zu messen und zu speichern. Als Standardeinstellung (</w:t>
      </w:r>
      <w:proofErr w:type="spellStart"/>
      <w:r w:rsidRPr="008637EB">
        <w:rPr>
          <w:sz w:val="20"/>
          <w:lang w:val="de-AT"/>
        </w:rPr>
        <w:t>Defaulteinstellung</w:t>
      </w:r>
      <w:proofErr w:type="spellEnd"/>
      <w:r w:rsidRPr="008637EB">
        <w:rPr>
          <w:sz w:val="20"/>
          <w:lang w:val="de-AT"/>
        </w:rPr>
        <w:t>) bei der Installation der intelligenten Messgeräte soll jedenfalls nur die Erfassung bzw. Übertragung von Tageswerten erfolgen.</w:t>
      </w:r>
    </w:p>
    <w:p w:rsidR="00E62630" w:rsidRPr="00E62630" w:rsidRDefault="00E62630" w:rsidP="00E62630">
      <w:pPr>
        <w:rPr>
          <w:rFonts w:eastAsiaTheme="minorHAnsi"/>
          <w:lang w:val="de-AT"/>
        </w:rPr>
      </w:pPr>
    </w:p>
    <w:p w:rsidR="008637EB" w:rsidRPr="008637EB" w:rsidRDefault="008637EB" w:rsidP="008637EB">
      <w:pPr>
        <w:pStyle w:val="Betreff"/>
        <w:suppressAutoHyphens/>
        <w:jc w:val="both"/>
        <w:rPr>
          <w:b/>
          <w:sz w:val="20"/>
          <w:lang w:val="de-AT"/>
        </w:rPr>
      </w:pPr>
      <w:r w:rsidRPr="008637EB">
        <w:rPr>
          <w:b/>
          <w:sz w:val="20"/>
          <w:lang w:val="de-AT"/>
        </w:rPr>
        <w:t>Zu § 3 Z 9 – Schutz vor unberechtigten Zugriff</w:t>
      </w:r>
    </w:p>
    <w:p w:rsidR="008637EB" w:rsidRDefault="008637EB" w:rsidP="008637EB">
      <w:pPr>
        <w:pStyle w:val="Betreff"/>
        <w:suppressAutoHyphens/>
        <w:jc w:val="both"/>
        <w:rPr>
          <w:sz w:val="20"/>
          <w:lang w:val="de-AT"/>
        </w:rPr>
      </w:pPr>
      <w:r w:rsidRPr="008637EB">
        <w:rPr>
          <w:sz w:val="20"/>
          <w:lang w:val="de-AT"/>
        </w:rPr>
        <w:t>In Ziffer 9 wird allgemein darauf verwiesen, dass die intelligenten Messgeräte sowie ihre Kommunikation gegen unerlaubten Zugriff und Manipulation nach dem Stand der Technik abzusichern seien. Insbesondere eine ferngesteuerte Manipulation stellt eine wesentliche Gefahr einer bidirektionalen Kommunikationsmöglichkeit dar. Wie in § 3 Absatz 10 festgelegt wird, ist eine Fernwartung der Software möglich. Gerade die jüngsten Hackerangriffe machen deutlich, dass neben der unbefugten Datenabfrage auch in der Fernsteuerung ein großes Missbrauchspotential liegen könnte. Deshalb sollte in § 3 Ziffer 9 festgelegt werden, dass die Geräte bei allen Schnittstellen nach dem verfügbaren Höchststandard der Technik abzusichern sind.</w:t>
      </w:r>
    </w:p>
    <w:p w:rsidR="00E62630" w:rsidRPr="00E62630" w:rsidRDefault="00E62630" w:rsidP="00E62630">
      <w:pPr>
        <w:rPr>
          <w:rFonts w:eastAsiaTheme="minorHAnsi"/>
          <w:lang w:val="de-AT"/>
        </w:rPr>
      </w:pPr>
    </w:p>
    <w:p w:rsidR="008637EB" w:rsidRPr="008637EB" w:rsidRDefault="008637EB" w:rsidP="008637EB">
      <w:pPr>
        <w:pStyle w:val="Betreff"/>
        <w:suppressAutoHyphens/>
        <w:jc w:val="both"/>
        <w:rPr>
          <w:b/>
          <w:sz w:val="20"/>
          <w:lang w:val="de-AT"/>
        </w:rPr>
      </w:pPr>
      <w:r w:rsidRPr="008637EB">
        <w:rPr>
          <w:b/>
          <w:sz w:val="20"/>
          <w:lang w:val="de-AT"/>
        </w:rPr>
        <w:t>Zu § 3 Z 10</w:t>
      </w:r>
      <w:r w:rsidRPr="008637EB">
        <w:rPr>
          <w:sz w:val="20"/>
          <w:lang w:val="de-AT"/>
        </w:rPr>
        <w:t xml:space="preserve"> </w:t>
      </w:r>
      <w:r w:rsidRPr="008637EB">
        <w:rPr>
          <w:b/>
          <w:sz w:val="20"/>
          <w:lang w:val="de-AT"/>
        </w:rPr>
        <w:t>– Softwareupdate aus der Ferne</w:t>
      </w:r>
    </w:p>
    <w:p w:rsidR="008637EB" w:rsidRDefault="008637EB" w:rsidP="008637EB">
      <w:pPr>
        <w:pStyle w:val="Betreff"/>
        <w:suppressAutoHyphens/>
        <w:jc w:val="both"/>
        <w:rPr>
          <w:sz w:val="20"/>
          <w:lang w:val="de-AT"/>
        </w:rPr>
      </w:pPr>
      <w:r w:rsidRPr="008637EB">
        <w:rPr>
          <w:sz w:val="20"/>
          <w:lang w:val="de-AT"/>
        </w:rPr>
        <w:t>In Ziffer 10 wird die Möglichkeit eines Softwareupdates aus der Ferne als Gerätestandard definiert. Aus Sicht der BAK ist zu gewährleisten, dass jeder einseitige Eingriff in die Software des Messgerätes aus der Ferne durch den Verteilernetzbetreiber, dem Vertragspartner (</w:t>
      </w:r>
      <w:proofErr w:type="spellStart"/>
      <w:r w:rsidRPr="008637EB">
        <w:rPr>
          <w:sz w:val="20"/>
          <w:lang w:val="de-AT"/>
        </w:rPr>
        <w:t>Kunden</w:t>
      </w:r>
      <w:r w:rsidR="00E331B3">
        <w:rPr>
          <w:sz w:val="20"/>
          <w:lang w:val="de-AT"/>
        </w:rPr>
        <w:t>Innen</w:t>
      </w:r>
      <w:proofErr w:type="spellEnd"/>
      <w:r w:rsidRPr="008637EB">
        <w:rPr>
          <w:sz w:val="20"/>
          <w:lang w:val="de-AT"/>
        </w:rPr>
        <w:t>) unter Nennung des Grundes bekanntzugeben und verbindlich zu dokumentieren ist.</w:t>
      </w:r>
    </w:p>
    <w:p w:rsidR="00E62630" w:rsidRPr="00E62630" w:rsidRDefault="00E62630" w:rsidP="00E62630">
      <w:pPr>
        <w:rPr>
          <w:rFonts w:eastAsiaTheme="minorHAnsi"/>
          <w:lang w:val="de-AT"/>
        </w:rPr>
      </w:pPr>
    </w:p>
    <w:p w:rsidR="008637EB" w:rsidRPr="008637EB" w:rsidRDefault="008637EB" w:rsidP="008637EB">
      <w:pPr>
        <w:pStyle w:val="Betreff"/>
        <w:suppressAutoHyphens/>
        <w:jc w:val="both"/>
        <w:rPr>
          <w:b/>
          <w:sz w:val="20"/>
          <w:lang w:val="de-AT"/>
        </w:rPr>
      </w:pPr>
      <w:r w:rsidRPr="008637EB">
        <w:rPr>
          <w:b/>
          <w:sz w:val="20"/>
          <w:lang w:val="de-AT"/>
        </w:rPr>
        <w:t>Zu § 3 Z 11 – Maß- und eichgesetzliche Bestimmungen – Sichtanzeige/Display</w:t>
      </w:r>
    </w:p>
    <w:p w:rsidR="008637EB" w:rsidRPr="008637EB" w:rsidRDefault="008637EB" w:rsidP="008637EB">
      <w:pPr>
        <w:pStyle w:val="Betreff"/>
        <w:suppressAutoHyphens/>
        <w:jc w:val="both"/>
        <w:rPr>
          <w:sz w:val="20"/>
          <w:lang w:val="de-AT"/>
        </w:rPr>
      </w:pPr>
      <w:r w:rsidRPr="008637EB">
        <w:rPr>
          <w:sz w:val="20"/>
          <w:lang w:val="de-AT"/>
        </w:rPr>
        <w:t xml:space="preserve">Zwar wird in § 3 Ziffer 11 der Hinweis auf maß- und eichrechtliche Bestimmungen und somit indirekt auch auf die Notwendigkeit einer Sichtanzeige gemäß Messgeräteverordnung Anhang 1 Punkt 10 sowie EU-Messgeräterichtlinie (RL 2004/22/EG) Anhang 1 Punkt 10 Bezug genommen, eine wesentliche Forderung der BAK ist jedoch, dass bereits mit den technischen Mindestanforderungen sichergestellt wird, dass die Ablesung der Verbrauchsdaten über ein ausreichend großes Display vollständig möglich sein muss. Die </w:t>
      </w:r>
      <w:proofErr w:type="spellStart"/>
      <w:r w:rsidRPr="008637EB">
        <w:rPr>
          <w:sz w:val="20"/>
          <w:lang w:val="de-AT"/>
        </w:rPr>
        <w:t>KonsumentInnen</w:t>
      </w:r>
      <w:proofErr w:type="spellEnd"/>
      <w:r w:rsidRPr="008637EB">
        <w:rPr>
          <w:sz w:val="20"/>
          <w:lang w:val="de-AT"/>
        </w:rPr>
        <w:t xml:space="preserve"> dürfen nicht gezwungen sein, zum Auslesen der Gerätedaten ein mobiles Telefon oder ein externes Datensichtgerät zu benötigen. Nachdem in Wohnbauten auch mehrere Gaszähler verschiedener </w:t>
      </w:r>
      <w:proofErr w:type="spellStart"/>
      <w:r w:rsidRPr="008637EB">
        <w:rPr>
          <w:sz w:val="20"/>
          <w:lang w:val="de-AT"/>
        </w:rPr>
        <w:t>BewohnerInnen</w:t>
      </w:r>
      <w:proofErr w:type="spellEnd"/>
      <w:r w:rsidRPr="008637EB">
        <w:rPr>
          <w:sz w:val="20"/>
          <w:lang w:val="de-AT"/>
        </w:rPr>
        <w:t xml:space="preserve"> in einem Zählerkasten montiert sein können, stellt sich außerdem die Frage, inwieweit eine Schutzeinrichtung gegen unbefugte Datenabfrage direkt am Gerät mit Display vorgegeben werden muss. Beispielsweise wäre die Schaffung einer entsprechenden Möglichkeit zur Abfrage eines PIN-Codes denkbar.</w:t>
      </w:r>
    </w:p>
    <w:p w:rsidR="008637EB" w:rsidRPr="008637EB" w:rsidRDefault="008637EB" w:rsidP="008637EB">
      <w:pPr>
        <w:pStyle w:val="Betreff"/>
        <w:suppressAutoHyphens/>
        <w:jc w:val="both"/>
        <w:rPr>
          <w:sz w:val="20"/>
          <w:lang w:val="de-AT"/>
        </w:rPr>
      </w:pPr>
      <w:r w:rsidRPr="008637EB">
        <w:rPr>
          <w:sz w:val="20"/>
          <w:lang w:val="de-AT"/>
        </w:rPr>
        <w:t>Nach Ansicht der BAK ist in der Ve</w:t>
      </w:r>
      <w:r w:rsidR="005B326C">
        <w:rPr>
          <w:sz w:val="20"/>
          <w:lang w:val="de-AT"/>
        </w:rPr>
        <w:t>rordnung auch festzulegen, dass</w:t>
      </w:r>
      <w:r w:rsidRPr="008637EB">
        <w:rPr>
          <w:sz w:val="20"/>
          <w:lang w:val="de-AT"/>
        </w:rPr>
        <w:t xml:space="preserve"> den </w:t>
      </w:r>
      <w:proofErr w:type="spellStart"/>
      <w:r w:rsidRPr="008637EB">
        <w:rPr>
          <w:sz w:val="20"/>
          <w:lang w:val="de-AT"/>
        </w:rPr>
        <w:t>NetzkundInnen</w:t>
      </w:r>
      <w:proofErr w:type="spellEnd"/>
      <w:r w:rsidRPr="008637EB">
        <w:rPr>
          <w:sz w:val="20"/>
          <w:lang w:val="de-AT"/>
        </w:rPr>
        <w:t xml:space="preserve"> eine verständliche</w:t>
      </w:r>
      <w:r w:rsidR="005B326C">
        <w:rPr>
          <w:sz w:val="20"/>
          <w:lang w:val="de-AT"/>
        </w:rPr>
        <w:t xml:space="preserve"> Bedienungsanleitung</w:t>
      </w:r>
      <w:r w:rsidRPr="008637EB">
        <w:rPr>
          <w:sz w:val="20"/>
          <w:lang w:val="de-AT"/>
        </w:rPr>
        <w:t xml:space="preserve"> </w:t>
      </w:r>
      <w:r w:rsidR="005B326C">
        <w:rPr>
          <w:sz w:val="20"/>
          <w:lang w:val="de-AT"/>
        </w:rPr>
        <w:t>zur</w:t>
      </w:r>
      <w:r w:rsidRPr="008637EB">
        <w:rPr>
          <w:sz w:val="20"/>
          <w:lang w:val="de-AT"/>
        </w:rPr>
        <w:t xml:space="preserve"> Verfügung zu stellen ist. Wobei den </w:t>
      </w:r>
      <w:proofErr w:type="spellStart"/>
      <w:r w:rsidRPr="008637EB">
        <w:rPr>
          <w:sz w:val="20"/>
          <w:lang w:val="de-AT"/>
        </w:rPr>
        <w:t>NetzkundInnen</w:t>
      </w:r>
      <w:proofErr w:type="spellEnd"/>
      <w:r w:rsidRPr="008637EB">
        <w:rPr>
          <w:sz w:val="20"/>
          <w:lang w:val="de-AT"/>
        </w:rPr>
        <w:t xml:space="preserve"> beim Austausch eines Zählers jedenfalls verpflichtend eine Bedienungsanleitung in schriftlicher Form kostenlos und nachweislich zu übergeben ist. Diese Bedienungsanleitung sollte jedenfalls in deutscher Sprache, bei Bedarf jedoch auch in den Muttersprachen der größten </w:t>
      </w:r>
      <w:proofErr w:type="spellStart"/>
      <w:r w:rsidRPr="008637EB">
        <w:rPr>
          <w:sz w:val="20"/>
          <w:lang w:val="de-AT"/>
        </w:rPr>
        <w:t>ImmigrantInnengruppen</w:t>
      </w:r>
      <w:proofErr w:type="spellEnd"/>
      <w:r w:rsidRPr="008637EB">
        <w:rPr>
          <w:sz w:val="20"/>
          <w:lang w:val="de-AT"/>
        </w:rPr>
        <w:t xml:space="preserve"> Österreichs angeboten werden. Darüber hinaus sind die </w:t>
      </w:r>
      <w:proofErr w:type="spellStart"/>
      <w:r w:rsidRPr="008637EB">
        <w:rPr>
          <w:sz w:val="20"/>
          <w:lang w:val="de-AT"/>
        </w:rPr>
        <w:t>KonsumentInnen</w:t>
      </w:r>
      <w:proofErr w:type="spellEnd"/>
      <w:r w:rsidRPr="008637EB">
        <w:rPr>
          <w:sz w:val="20"/>
          <w:lang w:val="de-AT"/>
        </w:rPr>
        <w:t xml:space="preserve"> kostenlos soweit mit den Funktionen des</w:t>
      </w:r>
      <w:r w:rsidR="005B326C">
        <w:rPr>
          <w:sz w:val="20"/>
          <w:lang w:val="de-AT"/>
        </w:rPr>
        <w:t xml:space="preserve"> Geräts vertraut zu machen, </w:t>
      </w:r>
      <w:r w:rsidR="00E331B3">
        <w:rPr>
          <w:sz w:val="20"/>
          <w:lang w:val="de-AT"/>
        </w:rPr>
        <w:t>dass</w:t>
      </w:r>
      <w:r w:rsidRPr="008637EB">
        <w:rPr>
          <w:sz w:val="20"/>
          <w:lang w:val="de-AT"/>
        </w:rPr>
        <w:t xml:space="preserve"> sie in der Lage sind, die verfügbaren Geräte zu verwenden und die gespeicherten Daten einwandfrei zu bewerten.</w:t>
      </w:r>
    </w:p>
    <w:p w:rsidR="008637EB" w:rsidRDefault="008637EB" w:rsidP="008637EB">
      <w:pPr>
        <w:pStyle w:val="Betreff"/>
        <w:suppressAutoHyphens/>
        <w:jc w:val="both"/>
        <w:rPr>
          <w:sz w:val="20"/>
          <w:lang w:val="de-AT"/>
        </w:rPr>
      </w:pPr>
      <w:r w:rsidRPr="008637EB">
        <w:rPr>
          <w:sz w:val="20"/>
          <w:lang w:val="de-AT"/>
        </w:rPr>
        <w:t xml:space="preserve">Abschließend weist die BAK nochmals darauf hin, dass die bisher geäußerten und oben beschriebenen Bedenken bei der Einführung von intelligenten Gas-Messgeräten derart schwer wiegen, dass sich die BAK gegen eine flächendeckende Einführung von intelligenten Gas-Messgeräten </w:t>
      </w:r>
      <w:r w:rsidR="005B326C">
        <w:rPr>
          <w:sz w:val="20"/>
          <w:lang w:val="de-AT"/>
        </w:rPr>
        <w:t>ausspricht.</w:t>
      </w:r>
    </w:p>
    <w:p w:rsidR="005B326C" w:rsidRPr="005B326C" w:rsidRDefault="005B326C" w:rsidP="005B326C">
      <w:pPr>
        <w:rPr>
          <w:rFonts w:eastAsiaTheme="minorHAnsi"/>
          <w:lang w:val="de-AT"/>
        </w:rPr>
      </w:pPr>
    </w:p>
    <w:p w:rsidR="008637EB" w:rsidRPr="008637EB" w:rsidRDefault="008637EB" w:rsidP="008637EB">
      <w:pPr>
        <w:pStyle w:val="Betreff"/>
        <w:suppressAutoHyphens/>
        <w:jc w:val="both"/>
        <w:rPr>
          <w:sz w:val="20"/>
          <w:lang w:val="de-AT"/>
        </w:rPr>
      </w:pPr>
      <w:r w:rsidRPr="008637EB">
        <w:rPr>
          <w:sz w:val="20"/>
          <w:lang w:val="de-AT"/>
        </w:rPr>
        <w:t>Mit freundlichen Grüßen</w:t>
      </w:r>
    </w:p>
    <w:p w:rsidR="001E581A" w:rsidRPr="005B326C" w:rsidRDefault="001E581A" w:rsidP="008637EB">
      <w:pPr>
        <w:pStyle w:val="Betreff"/>
        <w:suppressAutoHyphens/>
        <w:jc w:val="both"/>
        <w:rPr>
          <w:sz w:val="20"/>
        </w:rPr>
      </w:pPr>
    </w:p>
    <w:p w:rsidR="005B326C" w:rsidRDefault="005B326C" w:rsidP="005B326C"/>
    <w:p w:rsidR="005B326C" w:rsidRDefault="005B326C" w:rsidP="005B326C"/>
    <w:p w:rsidR="005B326C" w:rsidRDefault="005B326C" w:rsidP="005B326C"/>
    <w:p w:rsidR="005B326C" w:rsidRDefault="005B326C" w:rsidP="005B326C"/>
    <w:p w:rsidR="005B326C" w:rsidRDefault="005B326C" w:rsidP="005B326C">
      <w:r>
        <w:t xml:space="preserve">Herbert </w:t>
      </w:r>
      <w:proofErr w:type="spellStart"/>
      <w:r>
        <w:t>Tumpel</w:t>
      </w:r>
      <w:proofErr w:type="spellEnd"/>
      <w:r>
        <w:tab/>
      </w:r>
      <w:r>
        <w:tab/>
      </w:r>
      <w:r>
        <w:tab/>
      </w:r>
      <w:r>
        <w:tab/>
      </w:r>
      <w:r>
        <w:tab/>
      </w:r>
      <w:r>
        <w:tab/>
      </w:r>
      <w:r>
        <w:tab/>
        <w:t xml:space="preserve">Günther </w:t>
      </w:r>
      <w:proofErr w:type="spellStart"/>
      <w:r>
        <w:t>Chaloupek</w:t>
      </w:r>
      <w:proofErr w:type="spellEnd"/>
    </w:p>
    <w:p w:rsidR="005B326C" w:rsidRPr="005B326C" w:rsidRDefault="005B326C" w:rsidP="005B326C">
      <w:r>
        <w:t>Präsident</w:t>
      </w:r>
      <w:r>
        <w:tab/>
      </w:r>
      <w:r>
        <w:tab/>
      </w:r>
      <w:r>
        <w:tab/>
      </w:r>
      <w:r>
        <w:tab/>
      </w:r>
      <w:r>
        <w:tab/>
      </w:r>
      <w:r>
        <w:tab/>
      </w:r>
      <w:r>
        <w:tab/>
      </w:r>
      <w:proofErr w:type="spellStart"/>
      <w:r>
        <w:t>iV</w:t>
      </w:r>
      <w:proofErr w:type="spellEnd"/>
      <w:r>
        <w:t xml:space="preserve"> des Direktors</w:t>
      </w:r>
    </w:p>
    <w:sectPr w:rsidR="005B326C" w:rsidRPr="005B326C" w:rsidSect="00E17736">
      <w:headerReference w:type="default" r:id="rId9"/>
      <w:type w:val="continuous"/>
      <w:pgSz w:w="11907" w:h="16840" w:code="9"/>
      <w:pgMar w:top="2977" w:right="2268" w:bottom="1134" w:left="1418" w:header="1134" w:footer="720" w:gutter="0"/>
      <w:cols w:space="720"/>
      <w:formProt w:val="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7EB" w:rsidRDefault="008637EB">
      <w:r>
        <w:separator/>
      </w:r>
    </w:p>
  </w:endnote>
  <w:endnote w:type="continuationSeparator" w:id="0">
    <w:p w:rsidR="008637EB" w:rsidRDefault="00863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7EB" w:rsidRDefault="008637EB">
      <w:r>
        <w:separator/>
      </w:r>
    </w:p>
  </w:footnote>
  <w:footnote w:type="continuationSeparator" w:id="0">
    <w:p w:rsidR="008637EB" w:rsidRDefault="008637EB">
      <w:r>
        <w:continuationSeparator/>
      </w:r>
    </w:p>
  </w:footnote>
  <w:footnote w:id="1">
    <w:p w:rsidR="008637EB" w:rsidRPr="00A22824" w:rsidRDefault="008637EB" w:rsidP="008637EB">
      <w:pPr>
        <w:pStyle w:val="Funotentext"/>
        <w:jc w:val="both"/>
        <w:rPr>
          <w:rFonts w:ascii="Arial" w:hAnsi="Arial" w:cs="Arial"/>
          <w:sz w:val="16"/>
          <w:szCs w:val="16"/>
        </w:rPr>
      </w:pPr>
      <w:r>
        <w:rPr>
          <w:rStyle w:val="Funotenzeichen"/>
        </w:rPr>
        <w:footnoteRef/>
      </w:r>
      <w:r>
        <w:t xml:space="preserve"> </w:t>
      </w:r>
      <w:r w:rsidRPr="00A22824">
        <w:rPr>
          <w:rFonts w:ascii="Arial" w:hAnsi="Arial" w:cs="Arial"/>
          <w:sz w:val="16"/>
          <w:szCs w:val="16"/>
        </w:rPr>
        <w:t xml:space="preserve">Verbrauchsdaten sind personenbezogene Daten im Sinne des Datenschutzgesetzes. Die feingranulare Erfassung von Daten (hier: </w:t>
      </w:r>
      <w:r>
        <w:rPr>
          <w:rFonts w:ascii="Arial" w:hAnsi="Arial" w:cs="Arial"/>
          <w:sz w:val="16"/>
          <w:szCs w:val="16"/>
        </w:rPr>
        <w:t>60-Minuten</w:t>
      </w:r>
      <w:r w:rsidRPr="00A22824">
        <w:rPr>
          <w:rFonts w:ascii="Arial" w:hAnsi="Arial" w:cs="Arial"/>
          <w:sz w:val="16"/>
          <w:szCs w:val="16"/>
        </w:rPr>
        <w:t>-Verbrauchsdaten) ermöglicht die Profilbildung von Lebensgewohnheiten einer einze</w:t>
      </w:r>
      <w:r w:rsidRPr="00A22824">
        <w:rPr>
          <w:rFonts w:ascii="Arial" w:hAnsi="Arial" w:cs="Arial"/>
          <w:sz w:val="16"/>
          <w:szCs w:val="16"/>
        </w:rPr>
        <w:t>l</w:t>
      </w:r>
      <w:r w:rsidRPr="00A22824">
        <w:rPr>
          <w:rFonts w:ascii="Arial" w:hAnsi="Arial" w:cs="Arial"/>
          <w:sz w:val="16"/>
          <w:szCs w:val="16"/>
        </w:rPr>
        <w:t>nen Person oder einer Haushaltsgemein</w:t>
      </w:r>
      <w:r>
        <w:rPr>
          <w:rFonts w:ascii="Arial" w:hAnsi="Arial" w:cs="Arial"/>
          <w:sz w:val="16"/>
          <w:szCs w:val="16"/>
        </w:rPr>
        <w:t xml:space="preserve">schaft. </w:t>
      </w:r>
      <w:r w:rsidRPr="00A22824">
        <w:rPr>
          <w:rFonts w:ascii="Arial" w:hAnsi="Arial" w:cs="Arial"/>
          <w:sz w:val="16"/>
          <w:szCs w:val="16"/>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81A" w:rsidRDefault="004E1A8D">
    <w:pPr>
      <w:pStyle w:val="Kopfzeile"/>
    </w:pPr>
    <w:r>
      <w:rPr>
        <w:noProof/>
        <w:lang w:val="de-AT" w:eastAsia="de-AT"/>
      </w:rPr>
      <w:drawing>
        <wp:anchor distT="0" distB="0" distL="114300" distR="114300" simplePos="0" relativeHeight="251655679" behindDoc="0" locked="0" layoutInCell="1" allowOverlap="1">
          <wp:simplePos x="0" y="0"/>
          <wp:positionH relativeFrom="column">
            <wp:posOffset>248285</wp:posOffset>
          </wp:positionH>
          <wp:positionV relativeFrom="paragraph">
            <wp:posOffset>-325755</wp:posOffset>
          </wp:positionV>
          <wp:extent cx="6115050" cy="1685925"/>
          <wp:effectExtent l="0" t="0" r="0" b="9525"/>
          <wp:wrapNone/>
          <wp:docPr id="11" name="Bild 11" descr="AKÖsterreich und 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KÖsterreich und 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0" cy="1685925"/>
                  </a:xfrm>
                  <a:prstGeom prst="rect">
                    <a:avLst/>
                  </a:prstGeom>
                  <a:noFill/>
                </pic:spPr>
              </pic:pic>
            </a:graphicData>
          </a:graphic>
          <wp14:sizeRelH relativeFrom="page">
            <wp14:pctWidth>0</wp14:pctWidth>
          </wp14:sizeRelH>
          <wp14:sizeRelV relativeFrom="page">
            <wp14:pctHeight>0</wp14:pctHeight>
          </wp14:sizeRelV>
        </wp:anchor>
      </w:drawing>
    </w:r>
    <w:r>
      <w:rPr>
        <w:noProof/>
        <w:sz w:val="44"/>
        <w:lang w:val="de-AT" w:eastAsia="de-AT"/>
      </w:rPr>
      <w:drawing>
        <wp:inline distT="0" distB="0" distL="0" distR="0">
          <wp:extent cx="7620" cy="7620"/>
          <wp:effectExtent l="0" t="0" r="0" b="0"/>
          <wp:docPr id="1" name="Bild 1" descr="AKOST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KOSTE~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81A" w:rsidRDefault="001E581A" w:rsidP="00B0744A">
    <w:pPr>
      <w:pStyle w:val="Kopfzeile"/>
      <w:tabs>
        <w:tab w:val="clear" w:pos="4536"/>
        <w:tab w:val="clear" w:pos="9072"/>
        <w:tab w:val="right" w:pos="8931"/>
      </w:tabs>
    </w:pPr>
    <w:r>
      <w:rPr>
        <w:rStyle w:val="Seitenzahl"/>
      </w:rPr>
      <w:t xml:space="preserve">Seite </w:t>
    </w:r>
    <w:r>
      <w:rPr>
        <w:rStyle w:val="Seitenzahl"/>
      </w:rPr>
      <w:fldChar w:fldCharType="begin"/>
    </w:r>
    <w:r>
      <w:rPr>
        <w:rStyle w:val="Seitenzahl"/>
      </w:rPr>
      <w:instrText xml:space="preserve"> PAGE </w:instrText>
    </w:r>
    <w:r>
      <w:rPr>
        <w:rStyle w:val="Seitenzahl"/>
      </w:rPr>
      <w:fldChar w:fldCharType="separate"/>
    </w:r>
    <w:r w:rsidR="00AB40FC">
      <w:rPr>
        <w:rStyle w:val="Seitenzahl"/>
        <w:noProof/>
      </w:rPr>
      <w:t>3</w:t>
    </w:r>
    <w:r>
      <w:rPr>
        <w:rStyle w:val="Seitenzahl"/>
      </w:rPr>
      <w:fldChar w:fldCharType="end"/>
    </w:r>
    <w:r w:rsidR="00B0744A">
      <w:rPr>
        <w:rStyle w:val="Seitenzahl"/>
      </w:rPr>
      <w:tab/>
    </w:r>
    <w:r w:rsidR="004E1A8D">
      <w:rPr>
        <w:noProof/>
        <w:sz w:val="16"/>
        <w:lang w:val="de-AT" w:eastAsia="de-AT"/>
      </w:rPr>
      <w:drawing>
        <wp:inline distT="0" distB="0" distL="0" distR="0">
          <wp:extent cx="762000" cy="68580"/>
          <wp:effectExtent l="0" t="0" r="0" b="7620"/>
          <wp:docPr id="2" name="Bild 2" descr="BAK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KS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685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D30C72"/>
    <w:multiLevelType w:val="hybridMultilevel"/>
    <w:tmpl w:val="144CF2EA"/>
    <w:lvl w:ilvl="0" w:tplc="0C070005">
      <w:start w:val="1"/>
      <w:numFmt w:val="bullet"/>
      <w:lvlText w:val=""/>
      <w:lvlJc w:val="left"/>
      <w:pPr>
        <w:ind w:left="3037" w:hanging="360"/>
      </w:pPr>
      <w:rPr>
        <w:rFonts w:ascii="Wingdings" w:hAnsi="Wingdings" w:hint="default"/>
      </w:rPr>
    </w:lvl>
    <w:lvl w:ilvl="1" w:tplc="0C070003" w:tentative="1">
      <w:start w:val="1"/>
      <w:numFmt w:val="bullet"/>
      <w:lvlText w:val="o"/>
      <w:lvlJc w:val="left"/>
      <w:pPr>
        <w:ind w:left="3757" w:hanging="360"/>
      </w:pPr>
      <w:rPr>
        <w:rFonts w:ascii="Courier New" w:hAnsi="Courier New" w:cs="Courier New" w:hint="default"/>
      </w:rPr>
    </w:lvl>
    <w:lvl w:ilvl="2" w:tplc="0C070005" w:tentative="1">
      <w:start w:val="1"/>
      <w:numFmt w:val="bullet"/>
      <w:lvlText w:val=""/>
      <w:lvlJc w:val="left"/>
      <w:pPr>
        <w:ind w:left="4477" w:hanging="360"/>
      </w:pPr>
      <w:rPr>
        <w:rFonts w:ascii="Wingdings" w:hAnsi="Wingdings" w:hint="default"/>
      </w:rPr>
    </w:lvl>
    <w:lvl w:ilvl="3" w:tplc="0C070001" w:tentative="1">
      <w:start w:val="1"/>
      <w:numFmt w:val="bullet"/>
      <w:lvlText w:val=""/>
      <w:lvlJc w:val="left"/>
      <w:pPr>
        <w:ind w:left="5197" w:hanging="360"/>
      </w:pPr>
      <w:rPr>
        <w:rFonts w:ascii="Symbol" w:hAnsi="Symbol" w:hint="default"/>
      </w:rPr>
    </w:lvl>
    <w:lvl w:ilvl="4" w:tplc="0C070003" w:tentative="1">
      <w:start w:val="1"/>
      <w:numFmt w:val="bullet"/>
      <w:lvlText w:val="o"/>
      <w:lvlJc w:val="left"/>
      <w:pPr>
        <w:ind w:left="5917" w:hanging="360"/>
      </w:pPr>
      <w:rPr>
        <w:rFonts w:ascii="Courier New" w:hAnsi="Courier New" w:cs="Courier New" w:hint="default"/>
      </w:rPr>
    </w:lvl>
    <w:lvl w:ilvl="5" w:tplc="0C070005" w:tentative="1">
      <w:start w:val="1"/>
      <w:numFmt w:val="bullet"/>
      <w:lvlText w:val=""/>
      <w:lvlJc w:val="left"/>
      <w:pPr>
        <w:ind w:left="6637" w:hanging="360"/>
      </w:pPr>
      <w:rPr>
        <w:rFonts w:ascii="Wingdings" w:hAnsi="Wingdings" w:hint="default"/>
      </w:rPr>
    </w:lvl>
    <w:lvl w:ilvl="6" w:tplc="0C070001" w:tentative="1">
      <w:start w:val="1"/>
      <w:numFmt w:val="bullet"/>
      <w:lvlText w:val=""/>
      <w:lvlJc w:val="left"/>
      <w:pPr>
        <w:ind w:left="7357" w:hanging="360"/>
      </w:pPr>
      <w:rPr>
        <w:rFonts w:ascii="Symbol" w:hAnsi="Symbol" w:hint="default"/>
      </w:rPr>
    </w:lvl>
    <w:lvl w:ilvl="7" w:tplc="0C070003" w:tentative="1">
      <w:start w:val="1"/>
      <w:numFmt w:val="bullet"/>
      <w:lvlText w:val="o"/>
      <w:lvlJc w:val="left"/>
      <w:pPr>
        <w:ind w:left="8077" w:hanging="360"/>
      </w:pPr>
      <w:rPr>
        <w:rFonts w:ascii="Courier New" w:hAnsi="Courier New" w:cs="Courier New" w:hint="default"/>
      </w:rPr>
    </w:lvl>
    <w:lvl w:ilvl="8" w:tplc="0C070005" w:tentative="1">
      <w:start w:val="1"/>
      <w:numFmt w:val="bullet"/>
      <w:lvlText w:val=""/>
      <w:lvlJc w:val="left"/>
      <w:pPr>
        <w:ind w:left="879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7EB"/>
    <w:rsid w:val="00035142"/>
    <w:rsid w:val="000A2D01"/>
    <w:rsid w:val="001E581A"/>
    <w:rsid w:val="00261442"/>
    <w:rsid w:val="00276389"/>
    <w:rsid w:val="004964F9"/>
    <w:rsid w:val="004E1A8D"/>
    <w:rsid w:val="005B326C"/>
    <w:rsid w:val="00604A69"/>
    <w:rsid w:val="006C5645"/>
    <w:rsid w:val="008637EB"/>
    <w:rsid w:val="009851AE"/>
    <w:rsid w:val="009E3532"/>
    <w:rsid w:val="00AB40FC"/>
    <w:rsid w:val="00B0744A"/>
    <w:rsid w:val="00BA2E24"/>
    <w:rsid w:val="00BE2E5A"/>
    <w:rsid w:val="00D56FA8"/>
    <w:rsid w:val="00E17736"/>
    <w:rsid w:val="00E331B3"/>
    <w:rsid w:val="00E62630"/>
    <w:rsid w:val="00F359D2"/>
    <w:rsid w:val="00F5560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line="280" w:lineRule="exact"/>
      <w:jc w:val="both"/>
    </w:pPr>
    <w:rPr>
      <w:rFonts w:ascii="Arial" w:hAnsi="Arial"/>
      <w:lang w:val="de-DE" w:eastAsia="de-DE"/>
    </w:rPr>
  </w:style>
  <w:style w:type="paragraph" w:styleId="berschrift1">
    <w:name w:val="heading 1"/>
    <w:basedOn w:val="Standard"/>
    <w:next w:val="Standard"/>
    <w:qFormat/>
    <w:pPr>
      <w:keepNext/>
      <w:outlineLvl w:val="0"/>
    </w:pPr>
    <w:rPr>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 w:val="14"/>
    </w:rPr>
  </w:style>
  <w:style w:type="paragraph" w:customStyle="1" w:styleId="Fixtexte">
    <w:name w:val="Fixtexte"/>
    <w:basedOn w:val="Standard"/>
    <w:pPr>
      <w:spacing w:line="360" w:lineRule="auto"/>
    </w:pPr>
    <w:rPr>
      <w:snapToGrid w:val="0"/>
      <w:color w:val="000000"/>
      <w:sz w:val="14"/>
    </w:rPr>
  </w:style>
  <w:style w:type="paragraph" w:styleId="Fuzeile">
    <w:name w:val="footer"/>
    <w:basedOn w:val="Standard"/>
    <w:pPr>
      <w:tabs>
        <w:tab w:val="center" w:pos="4536"/>
        <w:tab w:val="right" w:pos="9072"/>
      </w:tabs>
    </w:pPr>
    <w:rPr>
      <w:sz w:val="18"/>
    </w:rPr>
  </w:style>
  <w:style w:type="character" w:styleId="Seitenzahl">
    <w:name w:val="page number"/>
    <w:rPr>
      <w:rFonts w:ascii="Arial" w:hAnsi="Arial"/>
      <w:sz w:val="16"/>
    </w:rPr>
  </w:style>
  <w:style w:type="paragraph" w:styleId="berarbeitung">
    <w:name w:val="Revision"/>
    <w:hidden/>
    <w:uiPriority w:val="99"/>
    <w:semiHidden/>
    <w:rsid w:val="004964F9"/>
    <w:rPr>
      <w:rFonts w:ascii="Arial" w:hAnsi="Arial"/>
      <w:lang w:val="de-DE" w:eastAsia="de-DE"/>
    </w:rPr>
  </w:style>
  <w:style w:type="paragraph" w:customStyle="1" w:styleId="1-Zeilig">
    <w:name w:val="1-Zeilig"/>
    <w:basedOn w:val="Standard"/>
    <w:pPr>
      <w:spacing w:line="240" w:lineRule="auto"/>
    </w:pPr>
  </w:style>
  <w:style w:type="paragraph" w:customStyle="1" w:styleId="Betreff">
    <w:name w:val="Betreff"/>
    <w:basedOn w:val="Standard"/>
    <w:next w:val="Standard"/>
    <w:pPr>
      <w:jc w:val="left"/>
    </w:pPr>
    <w:rPr>
      <w:sz w:val="24"/>
    </w:rPr>
  </w:style>
  <w:style w:type="paragraph" w:customStyle="1" w:styleId="Linksbndig">
    <w:name w:val="Linksbündig"/>
    <w:basedOn w:val="Standard"/>
    <w:pPr>
      <w:jc w:val="left"/>
    </w:pPr>
    <w:rPr>
      <w:noProof/>
    </w:rPr>
  </w:style>
  <w:style w:type="paragraph" w:styleId="Sprechblasentext">
    <w:name w:val="Balloon Text"/>
    <w:basedOn w:val="Standard"/>
    <w:link w:val="SprechblasentextZchn"/>
    <w:rsid w:val="004964F9"/>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4964F9"/>
    <w:rPr>
      <w:rFonts w:ascii="Tahoma" w:hAnsi="Tahoma" w:cs="Tahoma"/>
      <w:sz w:val="16"/>
      <w:szCs w:val="16"/>
      <w:lang w:val="de-DE" w:eastAsia="de-DE"/>
    </w:rPr>
  </w:style>
  <w:style w:type="paragraph" w:styleId="Funotentext">
    <w:name w:val="footnote text"/>
    <w:basedOn w:val="Standard"/>
    <w:link w:val="FunotentextZchn"/>
    <w:uiPriority w:val="99"/>
    <w:unhideWhenUsed/>
    <w:rsid w:val="008637EB"/>
    <w:pPr>
      <w:spacing w:line="240" w:lineRule="auto"/>
      <w:jc w:val="left"/>
    </w:pPr>
    <w:rPr>
      <w:rFonts w:ascii="Calibri" w:eastAsia="Calibri" w:hAnsi="Calibri"/>
      <w:lang w:val="de-AT" w:eastAsia="en-US"/>
    </w:rPr>
  </w:style>
  <w:style w:type="character" w:customStyle="1" w:styleId="FunotentextZchn">
    <w:name w:val="Fußnotentext Zchn"/>
    <w:basedOn w:val="Absatz-Standardschriftart"/>
    <w:link w:val="Funotentext"/>
    <w:uiPriority w:val="99"/>
    <w:rsid w:val="008637EB"/>
    <w:rPr>
      <w:rFonts w:ascii="Calibri" w:eastAsia="Calibri" w:hAnsi="Calibri"/>
      <w:lang w:eastAsia="en-US"/>
    </w:rPr>
  </w:style>
  <w:style w:type="character" w:styleId="Funotenzeichen">
    <w:name w:val="footnote reference"/>
    <w:uiPriority w:val="99"/>
    <w:unhideWhenUsed/>
    <w:rsid w:val="008637E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line="280" w:lineRule="exact"/>
      <w:jc w:val="both"/>
    </w:pPr>
    <w:rPr>
      <w:rFonts w:ascii="Arial" w:hAnsi="Arial"/>
      <w:lang w:val="de-DE" w:eastAsia="de-DE"/>
    </w:rPr>
  </w:style>
  <w:style w:type="paragraph" w:styleId="berschrift1">
    <w:name w:val="heading 1"/>
    <w:basedOn w:val="Standard"/>
    <w:next w:val="Standard"/>
    <w:qFormat/>
    <w:pPr>
      <w:keepNext/>
      <w:outlineLvl w:val="0"/>
    </w:pPr>
    <w:rPr>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 w:val="14"/>
    </w:rPr>
  </w:style>
  <w:style w:type="paragraph" w:customStyle="1" w:styleId="Fixtexte">
    <w:name w:val="Fixtexte"/>
    <w:basedOn w:val="Standard"/>
    <w:pPr>
      <w:spacing w:line="360" w:lineRule="auto"/>
    </w:pPr>
    <w:rPr>
      <w:snapToGrid w:val="0"/>
      <w:color w:val="000000"/>
      <w:sz w:val="14"/>
    </w:rPr>
  </w:style>
  <w:style w:type="paragraph" w:styleId="Fuzeile">
    <w:name w:val="footer"/>
    <w:basedOn w:val="Standard"/>
    <w:pPr>
      <w:tabs>
        <w:tab w:val="center" w:pos="4536"/>
        <w:tab w:val="right" w:pos="9072"/>
      </w:tabs>
    </w:pPr>
    <w:rPr>
      <w:sz w:val="18"/>
    </w:rPr>
  </w:style>
  <w:style w:type="character" w:styleId="Seitenzahl">
    <w:name w:val="page number"/>
    <w:rPr>
      <w:rFonts w:ascii="Arial" w:hAnsi="Arial"/>
      <w:sz w:val="16"/>
    </w:rPr>
  </w:style>
  <w:style w:type="paragraph" w:styleId="berarbeitung">
    <w:name w:val="Revision"/>
    <w:hidden/>
    <w:uiPriority w:val="99"/>
    <w:semiHidden/>
    <w:rsid w:val="004964F9"/>
    <w:rPr>
      <w:rFonts w:ascii="Arial" w:hAnsi="Arial"/>
      <w:lang w:val="de-DE" w:eastAsia="de-DE"/>
    </w:rPr>
  </w:style>
  <w:style w:type="paragraph" w:customStyle="1" w:styleId="1-Zeilig">
    <w:name w:val="1-Zeilig"/>
    <w:basedOn w:val="Standard"/>
    <w:pPr>
      <w:spacing w:line="240" w:lineRule="auto"/>
    </w:pPr>
  </w:style>
  <w:style w:type="paragraph" w:customStyle="1" w:styleId="Betreff">
    <w:name w:val="Betreff"/>
    <w:basedOn w:val="Standard"/>
    <w:next w:val="Standard"/>
    <w:pPr>
      <w:jc w:val="left"/>
    </w:pPr>
    <w:rPr>
      <w:sz w:val="24"/>
    </w:rPr>
  </w:style>
  <w:style w:type="paragraph" w:customStyle="1" w:styleId="Linksbndig">
    <w:name w:val="Linksbündig"/>
    <w:basedOn w:val="Standard"/>
    <w:pPr>
      <w:jc w:val="left"/>
    </w:pPr>
    <w:rPr>
      <w:noProof/>
    </w:rPr>
  </w:style>
  <w:style w:type="paragraph" w:styleId="Sprechblasentext">
    <w:name w:val="Balloon Text"/>
    <w:basedOn w:val="Standard"/>
    <w:link w:val="SprechblasentextZchn"/>
    <w:rsid w:val="004964F9"/>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4964F9"/>
    <w:rPr>
      <w:rFonts w:ascii="Tahoma" w:hAnsi="Tahoma" w:cs="Tahoma"/>
      <w:sz w:val="16"/>
      <w:szCs w:val="16"/>
      <w:lang w:val="de-DE" w:eastAsia="de-DE"/>
    </w:rPr>
  </w:style>
  <w:style w:type="paragraph" w:styleId="Funotentext">
    <w:name w:val="footnote text"/>
    <w:basedOn w:val="Standard"/>
    <w:link w:val="FunotentextZchn"/>
    <w:uiPriority w:val="99"/>
    <w:unhideWhenUsed/>
    <w:rsid w:val="008637EB"/>
    <w:pPr>
      <w:spacing w:line="240" w:lineRule="auto"/>
      <w:jc w:val="left"/>
    </w:pPr>
    <w:rPr>
      <w:rFonts w:ascii="Calibri" w:eastAsia="Calibri" w:hAnsi="Calibri"/>
      <w:lang w:val="de-AT" w:eastAsia="en-US"/>
    </w:rPr>
  </w:style>
  <w:style w:type="character" w:customStyle="1" w:styleId="FunotentextZchn">
    <w:name w:val="Fußnotentext Zchn"/>
    <w:basedOn w:val="Absatz-Standardschriftart"/>
    <w:link w:val="Funotentext"/>
    <w:uiPriority w:val="99"/>
    <w:rsid w:val="008637EB"/>
    <w:rPr>
      <w:rFonts w:ascii="Calibri" w:eastAsia="Calibri" w:hAnsi="Calibri"/>
      <w:lang w:eastAsia="en-US"/>
    </w:rPr>
  </w:style>
  <w:style w:type="character" w:styleId="Funotenzeichen">
    <w:name w:val="footnote reference"/>
    <w:uiPriority w:val="99"/>
    <w:unhideWhenUsed/>
    <w:rsid w:val="008637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o:\Office\Briefe\AK%20Brief%20mit%20BAK-Logo.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AK Brief mit BAK-Logo</Template>
  <TotalTime>0</TotalTime>
  <Pages>5</Pages>
  <Words>1627</Words>
  <Characters>11497</Characters>
  <Application>Microsoft Office Word</Application>
  <DocSecurity>0</DocSecurity>
  <Lines>95</Lines>
  <Paragraphs>26</Paragraphs>
  <ScaleCrop>false</ScaleCrop>
  <HeadingPairs>
    <vt:vector size="2" baseType="variant">
      <vt:variant>
        <vt:lpstr>Titel</vt:lpstr>
      </vt:variant>
      <vt:variant>
        <vt:i4>1</vt:i4>
      </vt:variant>
    </vt:vector>
  </HeadingPairs>
  <TitlesOfParts>
    <vt:vector size="1" baseType="lpstr">
      <vt:lpstr>Standardbrief</vt:lpstr>
    </vt:vector>
  </TitlesOfParts>
  <Company>AK-Wien</Company>
  <LinksUpToDate>false</LinksUpToDate>
  <CharactersWithSpaces>13098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Standardbrief</dc:title>
  <dc:creator>NIKOCEVIC Susanne</dc:creator>
  <cp:lastModifiedBy>NIKOCEVIC Susanne</cp:lastModifiedBy>
  <cp:revision>5</cp:revision>
  <cp:lastPrinted>2012-11-26T09:30:00Z</cp:lastPrinted>
  <dcterms:created xsi:type="dcterms:W3CDTF">2012-11-26T07:31:00Z</dcterms:created>
  <dcterms:modified xsi:type="dcterms:W3CDTF">2012-11-26T10:44:00Z</dcterms:modified>
</cp:coreProperties>
</file>